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A96CD5" w14:textId="77777777" w:rsidR="00315FCA" w:rsidRDefault="00315FCA" w:rsidP="00315FCA">
      <w:pPr>
        <w:pStyle w:val="Titre"/>
        <w:jc w:val="center"/>
        <w:rPr>
          <w:rFonts w:ascii="Gloucester MT Extra Condensed" w:hAnsi="Gloucester MT Extra Condensed"/>
          <w:b w:val="0"/>
          <w:bCs/>
          <w:color w:val="CE6B5C"/>
        </w:rPr>
      </w:pPr>
      <w:r w:rsidRPr="00315FCA">
        <w:rPr>
          <w:rFonts w:ascii="Gloucester MT Extra Condensed" w:hAnsi="Gloucester MT Extra Condensed"/>
          <w:b w:val="0"/>
          <w:bCs/>
          <w:color w:val="CE6B5C"/>
        </w:rPr>
        <w:t>RÈGLEMENT INTÉRIEUR DE L’ORGANISME DE FORMATION</w:t>
      </w:r>
    </w:p>
    <w:p w14:paraId="38C7401D" w14:textId="2AA67A2A" w:rsidR="005B6BD0" w:rsidRPr="00315FCA" w:rsidRDefault="00315FCA" w:rsidP="00315FCA">
      <w:pPr>
        <w:pStyle w:val="Titre"/>
        <w:jc w:val="center"/>
        <w:rPr>
          <w:rFonts w:ascii="Gloucester MT Extra Condensed" w:hAnsi="Gloucester MT Extra Condensed"/>
          <w:b w:val="0"/>
          <w:bCs/>
          <w:color w:val="CE6B5C"/>
          <w:sz w:val="52"/>
          <w:szCs w:val="56"/>
        </w:rPr>
      </w:pPr>
      <w:r w:rsidRPr="00315FCA">
        <w:rPr>
          <w:rFonts w:ascii="Gloucester MT Extra Condensed" w:hAnsi="Gloucester MT Extra Condensed"/>
          <w:b w:val="0"/>
          <w:bCs/>
          <w:color w:val="CE6B5C"/>
        </w:rPr>
        <w:t xml:space="preserve"> </w:t>
      </w:r>
      <w:r w:rsidRPr="00315FCA">
        <w:rPr>
          <w:rFonts w:ascii="Gloucester MT Extra Condensed" w:hAnsi="Gloucester MT Extra Condensed"/>
          <w:b w:val="0"/>
          <w:bCs/>
          <w:color w:val="CE6B5C"/>
          <w:sz w:val="52"/>
          <w:szCs w:val="56"/>
        </w:rPr>
        <w:t>INSPIRE SOLUTIONS</w:t>
      </w:r>
    </w:p>
    <w:p w14:paraId="4EF35959" w14:textId="77777777" w:rsidR="005B6BD0" w:rsidRPr="00315FCA" w:rsidRDefault="00000000">
      <w:pPr>
        <w:pStyle w:val="Sous-titre"/>
        <w:rPr>
          <w:rFonts w:ascii="Avenir Book" w:hAnsi="Avenir Book"/>
          <w:color w:val="1F497D" w:themeColor="text2"/>
        </w:rPr>
      </w:pPr>
      <w:r w:rsidRPr="00315FCA">
        <w:rPr>
          <w:rFonts w:ascii="Avenir Book" w:hAnsi="Avenir Book"/>
          <w:color w:val="1F497D" w:themeColor="text2"/>
        </w:rPr>
        <w:t>Applicable aux stagiaires et, le cas échéant, aux apprentis</w:t>
      </w:r>
    </w:p>
    <w:p w14:paraId="68B789BD" w14:textId="77777777" w:rsidR="005B6BD0" w:rsidRPr="00315FCA" w:rsidRDefault="00000000">
      <w:pPr>
        <w:pStyle w:val="Sous-titre"/>
        <w:rPr>
          <w:rFonts w:ascii="Avenir Book" w:hAnsi="Avenir Book"/>
          <w:color w:val="1F497D" w:themeColor="text2"/>
        </w:rPr>
      </w:pPr>
      <w:r w:rsidRPr="00315FCA">
        <w:rPr>
          <w:rFonts w:ascii="Avenir Book" w:hAnsi="Avenir Book"/>
          <w:color w:val="1F497D" w:themeColor="text2"/>
        </w:rPr>
        <w:t>Version du 18 septembre 2026</w:t>
      </w:r>
    </w:p>
    <w:p w14:paraId="642C12C4" w14:textId="77777777" w:rsidR="005B6BD0" w:rsidRPr="00315FCA" w:rsidRDefault="00000000">
      <w:pPr>
        <w:pStyle w:val="LegalBasis"/>
        <w:rPr>
          <w:rFonts w:ascii="Avenir Book" w:hAnsi="Avenir Book"/>
          <w:color w:val="1F497D" w:themeColor="text2"/>
        </w:rPr>
      </w:pPr>
      <w:r w:rsidRPr="00315FCA">
        <w:rPr>
          <w:rFonts w:ascii="Avenir Book" w:hAnsi="Avenir Book"/>
          <w:color w:val="1F497D" w:themeColor="text2"/>
        </w:rPr>
        <w:t>Établi conformément aux articles L. 6352-3 à L. 6352-5, R. 6352-1 à R. 6352-15 et R. 6342-3 du Code du travail.</w:t>
      </w:r>
    </w:p>
    <w:p w14:paraId="68F55D32" w14:textId="77777777" w:rsidR="00315FCA" w:rsidRDefault="00315FCA">
      <w:pPr>
        <w:rPr>
          <w:rFonts w:ascii="Avenir Book" w:hAnsi="Avenir Book"/>
          <w:b/>
          <w:color w:val="1F497D" w:themeColor="text2"/>
        </w:rPr>
      </w:pPr>
    </w:p>
    <w:p w14:paraId="09D8D3C1" w14:textId="44F0E7B1" w:rsidR="005B6BD0" w:rsidRPr="00315FCA" w:rsidRDefault="00000000">
      <w:pPr>
        <w:rPr>
          <w:rFonts w:ascii="Avenir Book" w:hAnsi="Avenir Book"/>
          <w:color w:val="1F497D" w:themeColor="text2"/>
        </w:rPr>
      </w:pPr>
      <w:proofErr w:type="spellStart"/>
      <w:r w:rsidRPr="00315FCA">
        <w:rPr>
          <w:rFonts w:ascii="Avenir Book" w:hAnsi="Avenir Book"/>
          <w:b/>
          <w:color w:val="1F497D" w:themeColor="text2"/>
        </w:rPr>
        <w:t>Objet</w:t>
      </w:r>
      <w:proofErr w:type="spellEnd"/>
      <w:r w:rsidRPr="00315FCA">
        <w:rPr>
          <w:rFonts w:ascii="Avenir Book" w:hAnsi="Avenir Book"/>
          <w:b/>
          <w:color w:val="1F497D" w:themeColor="text2"/>
        </w:rPr>
        <w:t xml:space="preserve"> du document. </w:t>
      </w:r>
      <w:r w:rsidRPr="00315FCA">
        <w:rPr>
          <w:rFonts w:ascii="Avenir Book" w:hAnsi="Avenir Book"/>
          <w:color w:val="1F497D" w:themeColor="text2"/>
        </w:rPr>
        <w:t>Le présent règlement fixe les règles applicables pendant les actions de formation organisées par Inspire Solutions, en présentiel, à distance ou dans des locaux mis à disposition. Il précise les mesures de santé et de sécurité, les règles de discipline, les garanties applicables en cas de sanction et, pour les formations concernées, les modalités de représentation des stagiaires.</w:t>
      </w:r>
    </w:p>
    <w:p w14:paraId="6B0BCFC9" w14:textId="77777777" w:rsidR="00315FCA" w:rsidRDefault="00315FCA">
      <w:pPr>
        <w:rPr>
          <w:rFonts w:ascii="Avenir Book" w:hAnsi="Avenir Book"/>
          <w:b/>
          <w:color w:val="1F497D" w:themeColor="text2"/>
        </w:rPr>
      </w:pPr>
    </w:p>
    <w:p w14:paraId="5E4051D4" w14:textId="28053696" w:rsidR="005B6BD0" w:rsidRPr="00315FCA" w:rsidRDefault="00000000">
      <w:pPr>
        <w:rPr>
          <w:rFonts w:ascii="Avenir Book" w:hAnsi="Avenir Book"/>
          <w:color w:val="1F497D" w:themeColor="text2"/>
        </w:rPr>
      </w:pPr>
      <w:r w:rsidRPr="00315FCA">
        <w:rPr>
          <w:rFonts w:ascii="Avenir Book" w:hAnsi="Avenir Book"/>
          <w:b/>
          <w:color w:val="1F497D" w:themeColor="text2"/>
        </w:rPr>
        <w:t xml:space="preserve">Politique </w:t>
      </w:r>
      <w:proofErr w:type="spellStart"/>
      <w:r w:rsidRPr="00315FCA">
        <w:rPr>
          <w:rFonts w:ascii="Avenir Book" w:hAnsi="Avenir Book"/>
          <w:b/>
          <w:color w:val="1F497D" w:themeColor="text2"/>
        </w:rPr>
        <w:t>d’accessibilité</w:t>
      </w:r>
      <w:proofErr w:type="spellEnd"/>
      <w:r w:rsidRPr="00315FCA">
        <w:rPr>
          <w:rFonts w:ascii="Avenir Book" w:hAnsi="Avenir Book"/>
          <w:b/>
          <w:color w:val="1F497D" w:themeColor="text2"/>
        </w:rPr>
        <w:t xml:space="preserve">. </w:t>
      </w:r>
      <w:r w:rsidRPr="00315FCA">
        <w:rPr>
          <w:rFonts w:ascii="Avenir Book" w:hAnsi="Avenir Book"/>
          <w:color w:val="1F497D" w:themeColor="text2"/>
        </w:rPr>
        <w:t>La politique d’accueil et d’accompagnement des personnes en situation de handicap figure en annexe. Elle complète le règlement intérieur et décrit l’organisation mise en place par Inspire Solutions au titre du référentiel Qualiopi.</w:t>
      </w:r>
    </w:p>
    <w:p w14:paraId="36853521" w14:textId="77777777" w:rsidR="00315FCA" w:rsidRDefault="00315FCA">
      <w:pPr>
        <w:pStyle w:val="Titre1"/>
        <w:rPr>
          <w:rFonts w:ascii="Avenir Book" w:hAnsi="Avenir Book"/>
          <w:color w:val="CE6B5C"/>
        </w:rPr>
      </w:pPr>
    </w:p>
    <w:p w14:paraId="64900D20" w14:textId="13E44058" w:rsidR="005B6BD0" w:rsidRPr="00315FCA" w:rsidRDefault="00000000">
      <w:pPr>
        <w:pStyle w:val="Titre1"/>
        <w:rPr>
          <w:rFonts w:ascii="Avenir Book" w:hAnsi="Avenir Book"/>
          <w:color w:val="CE6B5C"/>
        </w:rPr>
      </w:pPr>
      <w:r w:rsidRPr="00315FCA">
        <w:rPr>
          <w:rFonts w:ascii="Avenir Book" w:hAnsi="Avenir Book"/>
          <w:color w:val="CE6B5C"/>
        </w:rPr>
        <w:t xml:space="preserve">Section </w:t>
      </w:r>
      <w:proofErr w:type="gramStart"/>
      <w:r w:rsidRPr="00315FCA">
        <w:rPr>
          <w:rFonts w:ascii="Avenir Book" w:hAnsi="Avenir Book"/>
          <w:color w:val="CE6B5C"/>
        </w:rPr>
        <w:t xml:space="preserve">1  </w:t>
      </w:r>
      <w:proofErr w:type="spellStart"/>
      <w:r w:rsidRPr="00315FCA">
        <w:rPr>
          <w:rFonts w:ascii="Avenir Book" w:hAnsi="Avenir Book"/>
          <w:color w:val="CE6B5C"/>
        </w:rPr>
        <w:t>Objet</w:t>
      </w:r>
      <w:proofErr w:type="spellEnd"/>
      <w:proofErr w:type="gramEnd"/>
      <w:r w:rsidRPr="00315FCA">
        <w:rPr>
          <w:rFonts w:ascii="Avenir Book" w:hAnsi="Avenir Book"/>
          <w:color w:val="CE6B5C"/>
        </w:rPr>
        <w:t xml:space="preserve"> et champ d’application</w:t>
      </w:r>
    </w:p>
    <w:p w14:paraId="05548009"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 xml:space="preserve">Article </w:t>
      </w:r>
      <w:proofErr w:type="gramStart"/>
      <w:r w:rsidRPr="00315FCA">
        <w:rPr>
          <w:rFonts w:ascii="Avenir Book" w:hAnsi="Avenir Book"/>
          <w:color w:val="1F497D" w:themeColor="text2"/>
        </w:rPr>
        <w:t xml:space="preserve">1  </w:t>
      </w:r>
      <w:proofErr w:type="spellStart"/>
      <w:r w:rsidRPr="00315FCA">
        <w:rPr>
          <w:rFonts w:ascii="Avenir Book" w:hAnsi="Avenir Book"/>
          <w:color w:val="1F497D" w:themeColor="text2"/>
        </w:rPr>
        <w:t>Objet</w:t>
      </w:r>
      <w:proofErr w:type="spellEnd"/>
      <w:proofErr w:type="gramEnd"/>
    </w:p>
    <w:p w14:paraId="15C092F8"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 xml:space="preserve">Le </w:t>
      </w:r>
      <w:proofErr w:type="spellStart"/>
      <w:r w:rsidRPr="00315FCA">
        <w:rPr>
          <w:rFonts w:ascii="Avenir Book" w:hAnsi="Avenir Book"/>
          <w:color w:val="1F497D" w:themeColor="text2"/>
        </w:rPr>
        <w:t>règlement</w:t>
      </w:r>
      <w:proofErr w:type="spellEnd"/>
      <w:r w:rsidRPr="00315FCA">
        <w:rPr>
          <w:rFonts w:ascii="Avenir Book" w:hAnsi="Avenir Book"/>
          <w:color w:val="1F497D" w:themeColor="text2"/>
        </w:rPr>
        <w:t xml:space="preserve"> </w:t>
      </w:r>
      <w:proofErr w:type="spellStart"/>
      <w:r w:rsidRPr="00315FCA">
        <w:rPr>
          <w:rFonts w:ascii="Avenir Book" w:hAnsi="Avenir Book"/>
          <w:color w:val="1F497D" w:themeColor="text2"/>
        </w:rPr>
        <w:t>s’applique</w:t>
      </w:r>
      <w:proofErr w:type="spellEnd"/>
      <w:r w:rsidRPr="00315FCA">
        <w:rPr>
          <w:rFonts w:ascii="Avenir Book" w:hAnsi="Avenir Book"/>
          <w:color w:val="1F497D" w:themeColor="text2"/>
        </w:rPr>
        <w:t xml:space="preserve"> à toute personne participant à une action de formation organisée par Inspire Solutions, ci-après désignée comme le stagiaire. Il s’applique pendant toute la durée de la formation, y compris pendant les pauses, les séquences à distance et, lorsqu’elles existent, les activités pédagogiques organisées hors de la salle de formation.</w:t>
      </w:r>
    </w:p>
    <w:p w14:paraId="17D2E254"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 règlement est mis à la disposition du stagiaire avant son inscription définitive lorsque la réglementation l’exige, et au plus tard avant le début de la formation. La participation à la formation implique le respect de ses dispositions.</w:t>
      </w:r>
    </w:p>
    <w:p w14:paraId="104166C4"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2  Lieux et modalités concernés</w:t>
      </w:r>
    </w:p>
    <w:p w14:paraId="38103429"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Lorsque la formation se déroule dans une entreprise, un hôtel, un espace de réunion ou tout autre établissement disposant de son propre règlement intérieur, les mesures de santé et de sécurité de cet établissement s’appliquent aux stagiaires. Les autres dispositions du présent règlement demeurent applicables.</w:t>
      </w:r>
    </w:p>
    <w:p w14:paraId="60ADE342"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En formation à distance, le stagiaire respecte les règles relatives à l’assiduité, au comportement, à la confidentialité, à l’utilisation des outils numériques et à la propriété intellectuelle prévues par le présent règlement.</w:t>
      </w:r>
    </w:p>
    <w:p w14:paraId="09F43711"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lastRenderedPageBreak/>
        <w:t>Article 3  Égalité de traitement liberté de conscience et neutralité</w:t>
      </w:r>
    </w:p>
    <w:p w14:paraId="78F143B7"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Lorsqu’Inspire Solutions sollicite des fonds auprès des financeurs mentionnés à l’article L. 6316-1 du Code du travail, l’organisme assure l’égalité de traitement de tous les stagiaires et apprentis. Il veille au respect de la liberté d’expression et de conscience ainsi qu’à la neutralité des enseignements dispensés.</w:t>
      </w:r>
    </w:p>
    <w:p w14:paraId="5ABFBAB1"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Les échanges pédagogiques et l’expression d’opinions restent possibles lorsqu’ils servent les objectifs de la formation, respectent les personnes et n’entravent pas le bon déroulement de la prestation. Toute discrimination fondée sur un motif prohibé par la loi est interdite.</w:t>
      </w:r>
    </w:p>
    <w:p w14:paraId="63982B51" w14:textId="77777777" w:rsidR="00315FCA" w:rsidRDefault="00315FCA">
      <w:pPr>
        <w:pStyle w:val="Titre1"/>
        <w:rPr>
          <w:rFonts w:ascii="Avenir Book" w:hAnsi="Avenir Book"/>
          <w:color w:val="CE6B5C"/>
        </w:rPr>
      </w:pPr>
    </w:p>
    <w:p w14:paraId="0869F1D8" w14:textId="56D5CFF7" w:rsidR="005B6BD0" w:rsidRPr="00315FCA" w:rsidRDefault="00000000">
      <w:pPr>
        <w:pStyle w:val="Titre1"/>
        <w:rPr>
          <w:rFonts w:ascii="Avenir Book" w:hAnsi="Avenir Book"/>
          <w:color w:val="CE6B5C"/>
        </w:rPr>
      </w:pPr>
      <w:r w:rsidRPr="00315FCA">
        <w:rPr>
          <w:rFonts w:ascii="Avenir Book" w:hAnsi="Avenir Book"/>
          <w:color w:val="CE6B5C"/>
        </w:rPr>
        <w:t xml:space="preserve">Section </w:t>
      </w:r>
      <w:proofErr w:type="gramStart"/>
      <w:r w:rsidRPr="00315FCA">
        <w:rPr>
          <w:rFonts w:ascii="Avenir Book" w:hAnsi="Avenir Book"/>
          <w:color w:val="CE6B5C"/>
        </w:rPr>
        <w:t>2  Santé</w:t>
      </w:r>
      <w:proofErr w:type="gramEnd"/>
      <w:r w:rsidRPr="00315FCA">
        <w:rPr>
          <w:rFonts w:ascii="Avenir Book" w:hAnsi="Avenir Book"/>
          <w:color w:val="CE6B5C"/>
        </w:rPr>
        <w:t xml:space="preserve"> et sécurité</w:t>
      </w:r>
    </w:p>
    <w:p w14:paraId="636FA144"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4  Principes généraux</w:t>
      </w:r>
    </w:p>
    <w:p w14:paraId="4C8A9794"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Chaque stagiaire veille à sa sécurité et à celle des autres. Il respecte les consignes générales et particulières de santé et de sécurité communiquées par Inspire Solutions, le formateur, l’établissement d’accueil ou le constructeur des matériels utilisés.</w:t>
      </w:r>
    </w:p>
    <w:p w14:paraId="7BE5D57D"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Tout danger, incident, défectuosité ou dysfonctionnement d’un équipement ou d’un dispositif de sécurité doit être signalé immédiatement au formateur ou au représentant de l’établissement d’accueil. Le non-respect des consignes peut donner lieu à une mesure disciplinaire.</w:t>
      </w:r>
    </w:p>
    <w:p w14:paraId="3B3C1C9D"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5  Consignes d’incendie et situation d’urgence</w:t>
      </w:r>
    </w:p>
    <w:p w14:paraId="0C2284C9"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 stagiaire prend connaissance, dès son arrivée, des consignes d’incendie, des issues de secours, des points de rassemblement et de l’emplacement des moyens d’alerte du lieu de formation. En cas d’alerte, il cesse toute activité et suit calmement les instructions du personnel habilité ou des services de secours.</w:t>
      </w:r>
    </w:p>
    <w:p w14:paraId="234CCD04"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Toute personne témoin d’un départ de feu alerte immédiatement le responsable du site et les secours en composant le 18 ou le 112, sans se mettre en danger. En formation à distance, le stagiaire applique les consignes de sécurité du lieu depuis lequel il participe.</w:t>
      </w:r>
    </w:p>
    <w:p w14:paraId="5461DC8E"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6  Alcool drogues tabac et vapotage</w:t>
      </w:r>
    </w:p>
    <w:p w14:paraId="49572613"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L’introduction, la détention ou la consommation de drogues et de boissons alcoolisées sont interdites sur les lieux de formation, sauf autorisation exceptionnelle et encadrée de l’établissement d’accueil pour les boissons alcoolisées. Il est interdit de se présenter ou de demeurer en formation en état d’ivresse ou sous l’emprise de substances incompatibles avec la sécurité ou le bon déroulement de la formation.</w:t>
      </w:r>
    </w:p>
    <w:p w14:paraId="2F5C95B9"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Il est interdit de fumer ou de vapoter dans les salles de formation et dans tous les espaces où l’interdiction s’applique. Les règles du lieu d’accueil doivent être respectées.</w:t>
      </w:r>
    </w:p>
    <w:p w14:paraId="0DE8A67D"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7  Accident et problème de santé</w:t>
      </w:r>
    </w:p>
    <w:p w14:paraId="3147B971"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 stagiaire victime d’un accident pendant la formation ou sur le trajet entre le lieu de formation et son domicile ou son lieu de travail, ainsi que tout témoin, en informe immédiatement le formateur ou la direction d’Inspire Solutions. En cas d’urgence, les secours sont appelés en priorité.</w:t>
      </w:r>
    </w:p>
    <w:p w14:paraId="27A1E816"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lastRenderedPageBreak/>
        <w:t>Inspire Solutions accomplit les démarches et déclarations qui lui incombent dans les conditions prévues par l’article R. 6342-3 du Code du travail. Le stagiaire salarié informe également son employeur. Toute information de santé communiquée à cette occasion est traitée de manière confidentielle.</w:t>
      </w:r>
    </w:p>
    <w:p w14:paraId="09516B23"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8  Prévention et aménagements</w:t>
      </w:r>
    </w:p>
    <w:p w14:paraId="1387DAB6"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 stagiaire informe, dans la mesure du possible avant le début de la formation, la référente handicap ou la direction de toute situation nécessitant un aménagement lié à sa santé ou à son handicap. La demande est examinée dans le respect de la confidentialité et selon la politique d’accessibilité annexée.</w:t>
      </w:r>
    </w:p>
    <w:p w14:paraId="6E637660" w14:textId="77777777" w:rsidR="00315FCA" w:rsidRDefault="00315FCA">
      <w:pPr>
        <w:pStyle w:val="Titre1"/>
        <w:rPr>
          <w:rFonts w:ascii="Avenir Book" w:hAnsi="Avenir Book"/>
          <w:color w:val="CE6B5C"/>
        </w:rPr>
      </w:pPr>
    </w:p>
    <w:p w14:paraId="5DDE260C" w14:textId="12A21099" w:rsidR="005B6BD0" w:rsidRPr="00315FCA" w:rsidRDefault="00000000">
      <w:pPr>
        <w:pStyle w:val="Titre1"/>
        <w:rPr>
          <w:rFonts w:ascii="Avenir Book" w:hAnsi="Avenir Book"/>
          <w:color w:val="CE6B5C"/>
        </w:rPr>
      </w:pPr>
      <w:r w:rsidRPr="00315FCA">
        <w:rPr>
          <w:rFonts w:ascii="Avenir Book" w:hAnsi="Avenir Book"/>
          <w:color w:val="CE6B5C"/>
        </w:rPr>
        <w:t xml:space="preserve">Section </w:t>
      </w:r>
      <w:proofErr w:type="gramStart"/>
      <w:r w:rsidRPr="00315FCA">
        <w:rPr>
          <w:rFonts w:ascii="Avenir Book" w:hAnsi="Avenir Book"/>
          <w:color w:val="CE6B5C"/>
        </w:rPr>
        <w:t xml:space="preserve">3  </w:t>
      </w:r>
      <w:proofErr w:type="spellStart"/>
      <w:r w:rsidRPr="00315FCA">
        <w:rPr>
          <w:rFonts w:ascii="Avenir Book" w:hAnsi="Avenir Book"/>
          <w:color w:val="CE6B5C"/>
        </w:rPr>
        <w:t>Organisation</w:t>
      </w:r>
      <w:proofErr w:type="spellEnd"/>
      <w:proofErr w:type="gramEnd"/>
      <w:r w:rsidRPr="00315FCA">
        <w:rPr>
          <w:rFonts w:ascii="Avenir Book" w:hAnsi="Avenir Book"/>
          <w:color w:val="CE6B5C"/>
        </w:rPr>
        <w:t xml:space="preserve"> et discipline</w:t>
      </w:r>
    </w:p>
    <w:p w14:paraId="2E668176"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9  Horaires assiduité et ponctualité</w:t>
      </w:r>
    </w:p>
    <w:p w14:paraId="2D81634F"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 stagiaire respecte les horaires communiqués dans la convocation, le programme ou le calendrier de formation. Il participe avec assiduité aux séquences, travaux et évaluations prévus. Sauf circonstance exceptionnelle ou autorisation du formateur, il ne quitte pas la formation pendant les horaires programmés.</w:t>
      </w:r>
    </w:p>
    <w:p w14:paraId="57CBA690"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10  Absences retards et départs anticipés</w:t>
      </w:r>
    </w:p>
    <w:p w14:paraId="3AC1CC7D"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En cas d’absence, de retard ou de départ anticipé, le stagiaire prévient dans les meilleurs délais Inspire Solutions et, lorsque sa situation le requiert, son employeur. Il fournit tout justificatif demandé dans le cadre de la convention, du contrat ou des règles de financement applicables.</w:t>
      </w:r>
    </w:p>
    <w:p w14:paraId="37CE99A6"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Les absences ou interruptions peuvent avoir une incidence sur la validation de la formation, la délivrance des documents de fin de formation ou la prise en charge financière. Inspire Solutions informe l’employeur, le commanditaire ou le financeur lorsque les dispositions contractuelles ou réglementaires le prévoient.</w:t>
      </w:r>
    </w:p>
    <w:p w14:paraId="0BE93EAA"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11  Suivi de la présence et documents de formation</w:t>
      </w:r>
    </w:p>
    <w:p w14:paraId="0E15AC91"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 stagiaire renseigne avec exactitude les feuilles d’émargement, relevés de connexion ou autres justificatifs de réalisation, au moment où ils lui sont présentés. Il participe aux évaluations et questionnaires prévus et remet dans les délais les documents nécessaires à la gestion de son parcours.</w:t>
      </w:r>
    </w:p>
    <w:p w14:paraId="708A01FA"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À l’issue de la formation, Inspire Solutions remet les documents de fin de formation applicables, notamment le certificat de réalisation et, selon la prestation, une attestation de formation ou de compétences.</w:t>
      </w:r>
    </w:p>
    <w:p w14:paraId="797AC2B6"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12  Accès aux locaux</w:t>
      </w:r>
    </w:p>
    <w:p w14:paraId="758CB9B9"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Sauf autorisation expresse, le stagiaire ne peut pas :</w:t>
      </w:r>
    </w:p>
    <w:p w14:paraId="32BDE6EB"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entrer ou demeurer dans les locaux à d’autres fins que la formation ;</w:t>
      </w:r>
    </w:p>
    <w:p w14:paraId="3A5090D3"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introduire ou faciliter l’introduction de personnes étrangères à la formation ;</w:t>
      </w:r>
    </w:p>
    <w:p w14:paraId="3FD0C51F"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procéder à la vente de biens ou de services dans les locaux ;</w:t>
      </w:r>
    </w:p>
    <w:p w14:paraId="47270144"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accéder à des espaces, équipements ou documents qui ne sont pas mis à sa disposition.</w:t>
      </w:r>
    </w:p>
    <w:p w14:paraId="3E6860B9"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lastRenderedPageBreak/>
        <w:t>Article 13  Comportement respect des personnes et prévention du harcèlement</w:t>
      </w:r>
    </w:p>
    <w:p w14:paraId="45537CF0"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Chaque stagiaire adopte un comportement respectueux, courtois et compatible avec le travail collectif. Sont interdits les violences, menaces, propos ou comportements injurieux, discriminatoires, humiliants, sexistes, à caractère sexuel, ainsi que toute forme de harcèlement moral ou sexuel.</w:t>
      </w:r>
    </w:p>
    <w:p w14:paraId="2EECD3F6"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Tout fait de cette nature peut être signalé à la direction d’Inspire Solutions. Le signalement est examiné avec diligence et confidentialité, sans préjudice des voies de recours prévues par la loi.</w:t>
      </w:r>
    </w:p>
    <w:p w14:paraId="4E8C56DD"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14  Tenue et conditions de participation</w:t>
      </w:r>
    </w:p>
    <w:p w14:paraId="78ED3599"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 stagiaire se présente dans une tenue correcte et adaptée à l’activité, aux consignes de sécurité et au contexte professionnel de la formation. Il respecte les règles de confidentialité éventuellement applicables aux locaux du client ou aux situations de travail évoquées.</w:t>
      </w:r>
    </w:p>
    <w:p w14:paraId="3F2E1C34"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15  Utilisation du matériel et des outils numériques</w:t>
      </w:r>
    </w:p>
    <w:p w14:paraId="66FCC6D6"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 matériel, les logiciels, les identifiants et les ressources mis à disposition sont utilisés uniquement pour les besoins de la formation et conformément aux consignes du formateur. Le stagiaire les conserve en bon état et signale immédiatement toute anomalie, perte ou incident de sécurité.</w:t>
      </w:r>
    </w:p>
    <w:p w14:paraId="0A64F8AE"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En formation à distance, le stagiaire veille à disposer d’une connexion et d’un environnement compatibles avec la participation. Il ne partage pas ses identifiants et ne permet pas à un tiers de participer ou d’accéder aux contenus sans autorisation. Une difficulté technique doit être signalée sans délai afin qu’une solution raisonnable puisse être recherchée.</w:t>
      </w:r>
    </w:p>
    <w:p w14:paraId="5EA4E521"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16  Confidentialité droit à l’image et propriété intellectuelle</w:t>
      </w:r>
    </w:p>
    <w:p w14:paraId="76F70C7C"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Les informations confidentielles concernant les autres participants, les clients, les cas pratiques ou les entreprises ne doivent pas être divulguées ni réutilisées en dehors de la formation. Il est interdit d’enregistrer, de photographier, de filmer ou de diffuser une séquence de formation, un participant ou un support sans autorisation préalable.</w:t>
      </w:r>
    </w:p>
    <w:p w14:paraId="7EA6E7A8"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Les supports pédagogiques remis ou accessibles restent protégés par le droit de la propriété intellectuelle. Sauf autorisation écrite, ils sont réservés à l’usage personnel du stagiaire et ne peuvent être reproduits, adaptés, diffusés, commercialisés ou mis à disposition de tiers.</w:t>
      </w:r>
    </w:p>
    <w:p w14:paraId="2F3B9905" w14:textId="77777777" w:rsidR="00315FCA" w:rsidRDefault="00315FCA">
      <w:pPr>
        <w:pStyle w:val="Titre1"/>
        <w:rPr>
          <w:rFonts w:ascii="Avenir Book" w:hAnsi="Avenir Book"/>
          <w:color w:val="CE6B5C"/>
        </w:rPr>
      </w:pPr>
    </w:p>
    <w:p w14:paraId="6412068C" w14:textId="5B50362F" w:rsidR="005B6BD0" w:rsidRPr="00315FCA" w:rsidRDefault="00000000">
      <w:pPr>
        <w:pStyle w:val="Titre1"/>
        <w:rPr>
          <w:rFonts w:ascii="Avenir Book" w:hAnsi="Avenir Book"/>
          <w:color w:val="CE6B5C"/>
        </w:rPr>
      </w:pPr>
      <w:r w:rsidRPr="00315FCA">
        <w:rPr>
          <w:rFonts w:ascii="Avenir Book" w:hAnsi="Avenir Book"/>
          <w:color w:val="CE6B5C"/>
        </w:rPr>
        <w:t xml:space="preserve">Section </w:t>
      </w:r>
      <w:proofErr w:type="gramStart"/>
      <w:r w:rsidRPr="00315FCA">
        <w:rPr>
          <w:rFonts w:ascii="Avenir Book" w:hAnsi="Avenir Book"/>
          <w:color w:val="CE6B5C"/>
        </w:rPr>
        <w:t xml:space="preserve">4  </w:t>
      </w:r>
      <w:proofErr w:type="spellStart"/>
      <w:r w:rsidRPr="00315FCA">
        <w:rPr>
          <w:rFonts w:ascii="Avenir Book" w:hAnsi="Avenir Book"/>
          <w:color w:val="CE6B5C"/>
        </w:rPr>
        <w:t>Mesures</w:t>
      </w:r>
      <w:proofErr w:type="spellEnd"/>
      <w:proofErr w:type="gramEnd"/>
      <w:r w:rsidRPr="00315FCA">
        <w:rPr>
          <w:rFonts w:ascii="Avenir Book" w:hAnsi="Avenir Book"/>
          <w:color w:val="CE6B5C"/>
        </w:rPr>
        <w:t xml:space="preserve"> </w:t>
      </w:r>
      <w:proofErr w:type="spellStart"/>
      <w:r w:rsidRPr="00315FCA">
        <w:rPr>
          <w:rFonts w:ascii="Avenir Book" w:hAnsi="Avenir Book"/>
          <w:color w:val="CE6B5C"/>
        </w:rPr>
        <w:t>disciplinaires</w:t>
      </w:r>
      <w:proofErr w:type="spellEnd"/>
    </w:p>
    <w:p w14:paraId="22922611"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17  Définition et échelle des sanctions</w:t>
      </w:r>
    </w:p>
    <w:p w14:paraId="5BCB21A8"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Constitue une sanction toute mesure, autre qu’une observation verbale, prise par la direction d’Inspire Solutions ou son représentant à la suite d’un agissement considéré comme fautif, qu’elle affecte ou non immédiatement la présence du stagiaire ou la continuité de sa formation.</w:t>
      </w:r>
    </w:p>
    <w:p w14:paraId="1AD70ED0"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Selon la nature et la gravité des faits, les sanctions susceptibles d’être prononcées sont :</w:t>
      </w:r>
    </w:p>
    <w:p w14:paraId="476000CD"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l’avertissement écrit ;</w:t>
      </w:r>
    </w:p>
    <w:p w14:paraId="490B9E00"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le blâme ;</w:t>
      </w:r>
    </w:p>
    <w:p w14:paraId="5DB9448F"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lastRenderedPageBreak/>
        <w:t>l’exclusion temporaire de la formation ;</w:t>
      </w:r>
    </w:p>
    <w:p w14:paraId="278804A2"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l’exclusion définitive de la formation.</w:t>
      </w:r>
    </w:p>
    <w:p w14:paraId="282676CC"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La sanction est proportionnée aux faits reprochés. Les amendes et autres sanctions pécuniaires sont interdites. Une observation verbale ou un rappel des règles ne constitue pas une sanction disciplinaire.</w:t>
      </w:r>
    </w:p>
    <w:p w14:paraId="66A82F92"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18  Information préalable du stagiaire</w:t>
      </w:r>
    </w:p>
    <w:p w14:paraId="5D35EE78"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Aucune sanction ne peut être infligée sans que le stagiaire ait été informé au préalable des griefs retenus contre lui et ait pu présenter ses observations.</w:t>
      </w:r>
    </w:p>
    <w:p w14:paraId="790A6A26"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19  Entretien préalable</w:t>
      </w:r>
    </w:p>
    <w:p w14:paraId="1F973DFA"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Lorsqu’une sanction envisagée peut avoir une incidence, immédiate ou non, sur la présence du stagiaire dans la formation, la direction ou son représentant le convoque à un entretien. La convocation est écrite, indique son objet, la date, l’heure et le lieu de l’entretien, et est adressée par lettre recommandée ou remise contre décharge.</w:t>
      </w:r>
    </w:p>
    <w:p w14:paraId="08315134"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La convocation précise que le stagiaire peut se faire assister par la personne de son choix, notamment le délégué de stage lorsqu’il existe. Au cours de l’entretien, la direction expose le motif de la sanction envisagée et recueille les explications du stagiaire.</w:t>
      </w:r>
    </w:p>
    <w:p w14:paraId="6704DFE6"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20  Décision et notification</w:t>
      </w:r>
    </w:p>
    <w:p w14:paraId="410E7A9B"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Lorsqu’un entretien préalable est requis, la sanction ne peut intervenir moins d’un jour franc ni plus de quinze jours après l’entretien. Elle fait l’objet d’une décision écrite et motivée, notifiée au stagiaire par lettre recommandée ou remise contre récépissé.</w:t>
      </w:r>
    </w:p>
    <w:p w14:paraId="63827668"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Lorsque le stagiaire est salarié ou que la formation est financée, la direction informe l’employeur et l’organisme financeur de la sanction prise, conformément à l’article R. 6352-8 du Code du travail.</w:t>
      </w:r>
    </w:p>
    <w:p w14:paraId="1F05556A"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21  Mesure conservatoire</w:t>
      </w:r>
    </w:p>
    <w:p w14:paraId="2AAA90FC"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Lorsqu’un agissement rend indispensable une exclusion temporaire immédiate à titre conservatoire, cette mesure peut être prise sans préjuger de la sanction définitive. Aucune sanction définitive relative aux mêmes faits ne peut intervenir avant le respect de la procédure applicable.</w:t>
      </w:r>
    </w:p>
    <w:p w14:paraId="278C70E0" w14:textId="77777777" w:rsidR="00315FCA" w:rsidRDefault="00315FCA">
      <w:pPr>
        <w:pStyle w:val="Titre1"/>
        <w:rPr>
          <w:rFonts w:ascii="Avenir Book" w:hAnsi="Avenir Book"/>
          <w:color w:val="CE6B5C"/>
        </w:rPr>
      </w:pPr>
    </w:p>
    <w:p w14:paraId="6C88E657" w14:textId="51D2FDB1" w:rsidR="005B6BD0" w:rsidRPr="00315FCA" w:rsidRDefault="00000000">
      <w:pPr>
        <w:pStyle w:val="Titre1"/>
        <w:rPr>
          <w:rFonts w:ascii="Avenir Book" w:hAnsi="Avenir Book"/>
          <w:color w:val="CE6B5C"/>
        </w:rPr>
      </w:pPr>
      <w:r w:rsidRPr="00315FCA">
        <w:rPr>
          <w:rFonts w:ascii="Avenir Book" w:hAnsi="Avenir Book"/>
          <w:color w:val="CE6B5C"/>
        </w:rPr>
        <w:t xml:space="preserve">Section 5 </w:t>
      </w:r>
      <w:proofErr w:type="spellStart"/>
      <w:r w:rsidRPr="00315FCA">
        <w:rPr>
          <w:rFonts w:ascii="Avenir Book" w:hAnsi="Avenir Book"/>
          <w:color w:val="CE6B5C"/>
        </w:rPr>
        <w:t>Représentation</w:t>
      </w:r>
      <w:proofErr w:type="spellEnd"/>
      <w:r w:rsidRPr="00315FCA">
        <w:rPr>
          <w:rFonts w:ascii="Avenir Book" w:hAnsi="Avenir Book"/>
          <w:color w:val="CE6B5C"/>
        </w:rPr>
        <w:t xml:space="preserve"> des stagiaires</w:t>
      </w:r>
    </w:p>
    <w:p w14:paraId="5AF98CCB"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22  Champ d’application</w:t>
      </w:r>
    </w:p>
    <w:p w14:paraId="329B24E2"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Pour toute action de formation organisée en sessions d’une durée totale supérieure à cinq cents heures, il est procédé simultanément à l’élection d’un délégué titulaire et d’un délégué suppléant au scrutin uninominal à deux tours. Tous les stagiaires et, le cas échéant, les apprentis sont électeurs et éligibles.</w:t>
      </w:r>
    </w:p>
    <w:p w14:paraId="04E2C37A"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Ces dispositions ne s’appliquent pas aux détenus admis à participer à une action de formation professionnelle.</w:t>
      </w:r>
    </w:p>
    <w:p w14:paraId="0A71DCD7"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lastRenderedPageBreak/>
        <w:t>Article 23  Organisation du scrutin</w:t>
      </w:r>
    </w:p>
    <w:p w14:paraId="4D31DC73"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 scrutin se déroule pendant les heures de formation, au plus tôt vingt heures et au plus tard quarante heures après le début de la première session collective. La direction d’Inspire Solutions organise le scrutin et en assure le bon déroulement.</w:t>
      </w:r>
    </w:p>
    <w:p w14:paraId="0CE31866"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Si la représentation ne peut être assurée à l’issue du scrutin, la direction établit un procès-verbal de carence.</w:t>
      </w:r>
    </w:p>
    <w:p w14:paraId="7F2BB4C0"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24  Mandat et rôle des délégués</w:t>
      </w:r>
    </w:p>
    <w:p w14:paraId="4AC236B1"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Les délégués sont élus pour la durée de la formation. Leur mandat prend fin lorsqu’ils cessent de participer à la formation. Si le titulaire et le suppléant cessent leurs fonctions avant la fin de la formation, une nouvelle élection est organisée dans les mêmes conditions.</w:t>
      </w:r>
    </w:p>
    <w:p w14:paraId="17B8F168"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Les délégués formulent toute suggestion visant à améliorer le déroulement de la formation et les conditions de vie des stagiaires. Ils présentent les réclamations individuelles ou collectives relatives à ces sujets, à la santé et à la sécurité au travail et à l’application du présent règlement.</w:t>
      </w:r>
    </w:p>
    <w:p w14:paraId="783776B7" w14:textId="77777777" w:rsidR="00315FCA" w:rsidRDefault="00315FCA">
      <w:pPr>
        <w:pStyle w:val="Titre1"/>
        <w:rPr>
          <w:rFonts w:ascii="Avenir Book" w:hAnsi="Avenir Book"/>
          <w:color w:val="CE6B5C"/>
        </w:rPr>
      </w:pPr>
    </w:p>
    <w:p w14:paraId="2D11D2BD" w14:textId="383C312E" w:rsidR="005B6BD0" w:rsidRPr="00315FCA" w:rsidRDefault="00000000">
      <w:pPr>
        <w:pStyle w:val="Titre1"/>
        <w:rPr>
          <w:rFonts w:ascii="Avenir Book" w:hAnsi="Avenir Book"/>
          <w:color w:val="CE6B5C"/>
        </w:rPr>
      </w:pPr>
      <w:r w:rsidRPr="00315FCA">
        <w:rPr>
          <w:rFonts w:ascii="Avenir Book" w:hAnsi="Avenir Book"/>
          <w:color w:val="CE6B5C"/>
        </w:rPr>
        <w:t xml:space="preserve">Section </w:t>
      </w:r>
      <w:proofErr w:type="gramStart"/>
      <w:r w:rsidRPr="00315FCA">
        <w:rPr>
          <w:rFonts w:ascii="Avenir Book" w:hAnsi="Avenir Book"/>
          <w:color w:val="CE6B5C"/>
        </w:rPr>
        <w:t xml:space="preserve">6  </w:t>
      </w:r>
      <w:proofErr w:type="spellStart"/>
      <w:r w:rsidRPr="00315FCA">
        <w:rPr>
          <w:rFonts w:ascii="Avenir Book" w:hAnsi="Avenir Book"/>
          <w:color w:val="CE6B5C"/>
        </w:rPr>
        <w:t>Réclamations</w:t>
      </w:r>
      <w:proofErr w:type="spellEnd"/>
      <w:proofErr w:type="gramEnd"/>
      <w:r w:rsidRPr="00315FCA">
        <w:rPr>
          <w:rFonts w:ascii="Avenir Book" w:hAnsi="Avenir Book"/>
          <w:color w:val="CE6B5C"/>
        </w:rPr>
        <w:t xml:space="preserve"> entrée en vigueur et diffusion</w:t>
      </w:r>
    </w:p>
    <w:p w14:paraId="1FCE59BB"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25  Réclamations et difficultés</w:t>
      </w:r>
    </w:p>
    <w:p w14:paraId="4A550FD5"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Toute difficulté ou réclamation relative à l’accueil, au déroulement, au suivi ou à l’évaluation de la formation peut être adressée à Inspire Solutions à l’adresse geraldine.perroud@inspire-solutions.fr. La demande est enregistrée, analysée et traitée selon la procédure interne de gestion des réclamations.</w:t>
      </w:r>
    </w:p>
    <w:p w14:paraId="3C4D415C" w14:textId="77777777" w:rsidR="005B6BD0" w:rsidRPr="00315FCA" w:rsidRDefault="00000000">
      <w:pPr>
        <w:pStyle w:val="Titre2"/>
        <w:rPr>
          <w:rFonts w:ascii="Avenir Book" w:hAnsi="Avenir Book"/>
          <w:color w:val="1F497D" w:themeColor="text2"/>
        </w:rPr>
      </w:pPr>
      <w:r w:rsidRPr="00315FCA">
        <w:rPr>
          <w:rFonts w:ascii="Avenir Book" w:hAnsi="Avenir Book"/>
          <w:color w:val="1F497D" w:themeColor="text2"/>
        </w:rPr>
        <w:t>Article 26  Entrée en vigueur et mise à jour</w:t>
      </w:r>
    </w:p>
    <w:p w14:paraId="7AD13E3C"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 présent règlement entre en vigueur le 18 septembre 2026. Il remplace toute version antérieure. Il peut être mis à jour afin de tenir compte d’une évolution légale, réglementaire, organisationnelle ou des modalités de formation. La version applicable est celle communiquée au stagiaire pour l’action concernée.</w:t>
      </w:r>
    </w:p>
    <w:p w14:paraId="484D7F81" w14:textId="77777777" w:rsidR="005B6BD0" w:rsidRPr="00315FCA" w:rsidRDefault="005B6BD0">
      <w:pPr>
        <w:rPr>
          <w:rFonts w:ascii="Avenir Book" w:hAnsi="Avenir Book"/>
          <w:color w:val="1F497D" w:themeColor="text2"/>
        </w:rPr>
      </w:pPr>
    </w:p>
    <w:p w14:paraId="60214D81"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Fait à Clichy le 18 septembre 2026</w:t>
      </w:r>
    </w:p>
    <w:p w14:paraId="78A73F4D"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Géraldine PERROUD</w:t>
      </w:r>
      <w:r w:rsidRPr="00315FCA">
        <w:rPr>
          <w:rFonts w:ascii="Avenir Book" w:hAnsi="Avenir Book"/>
          <w:color w:val="1F497D" w:themeColor="text2"/>
        </w:rPr>
        <w:br/>
        <w:t>Direction d’Inspire Solutions</w:t>
      </w:r>
    </w:p>
    <w:p w14:paraId="43346D53"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br w:type="page"/>
      </w:r>
    </w:p>
    <w:p w14:paraId="4D52E8D6" w14:textId="77777777" w:rsidR="005B6BD0" w:rsidRPr="00315FCA" w:rsidRDefault="00000000">
      <w:pPr>
        <w:pStyle w:val="Titre"/>
        <w:rPr>
          <w:rFonts w:ascii="Avenir Book" w:hAnsi="Avenir Book"/>
          <w:color w:val="1F497D" w:themeColor="text2"/>
        </w:rPr>
      </w:pPr>
      <w:r w:rsidRPr="00315FCA">
        <w:rPr>
          <w:rFonts w:ascii="Avenir Book" w:hAnsi="Avenir Book"/>
          <w:color w:val="1F497D" w:themeColor="text2"/>
        </w:rPr>
        <w:lastRenderedPageBreak/>
        <w:t>Politique d’accessibilité des formations</w:t>
      </w:r>
    </w:p>
    <w:p w14:paraId="00BB31DD" w14:textId="77777777" w:rsidR="005B6BD0" w:rsidRPr="00315FCA" w:rsidRDefault="00000000">
      <w:pPr>
        <w:pStyle w:val="Sous-titre"/>
        <w:rPr>
          <w:rFonts w:ascii="Avenir Book" w:hAnsi="Avenir Book"/>
          <w:color w:val="1F497D" w:themeColor="text2"/>
        </w:rPr>
      </w:pPr>
      <w:r w:rsidRPr="00315FCA">
        <w:rPr>
          <w:rFonts w:ascii="Avenir Book" w:hAnsi="Avenir Book"/>
          <w:color w:val="1F497D" w:themeColor="text2"/>
        </w:rPr>
        <w:t>Annexe au règlement intérieur d’Inspire Solutions</w:t>
      </w:r>
    </w:p>
    <w:p w14:paraId="28748FC7" w14:textId="77777777" w:rsidR="005B6BD0" w:rsidRPr="00315FCA" w:rsidRDefault="00000000">
      <w:pPr>
        <w:pStyle w:val="Sous-titre"/>
        <w:rPr>
          <w:rFonts w:ascii="Avenir Book" w:hAnsi="Avenir Book"/>
          <w:color w:val="1F497D" w:themeColor="text2"/>
        </w:rPr>
      </w:pPr>
      <w:r w:rsidRPr="00315FCA">
        <w:rPr>
          <w:rFonts w:ascii="Avenir Book" w:hAnsi="Avenir Book"/>
          <w:color w:val="1F497D" w:themeColor="text2"/>
        </w:rPr>
        <w:t>Version du 18 septembre 2026</w:t>
      </w:r>
    </w:p>
    <w:p w14:paraId="1ABC8A61"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 xml:space="preserve">Finalité. </w:t>
      </w:r>
      <w:r w:rsidRPr="00315FCA">
        <w:rPr>
          <w:rFonts w:ascii="Avenir Book" w:hAnsi="Avenir Book"/>
          <w:color w:val="1F497D" w:themeColor="text2"/>
        </w:rPr>
        <w:t>Inspire Solutions cherche à rendre ses formations accessibles aux personnes en situation de handicap et à adapter l’accueil, les moyens pédagogiques, le rythme, les supports et les évaluations lorsque les besoins identifiés le nécessitent. Cette politique décrit la procédure utilisée pour examiner chaque situation et mobiliser, si besoin, des partenaires spécialisés.</w:t>
      </w:r>
    </w:p>
    <w:p w14:paraId="4E157C59" w14:textId="77777777" w:rsidR="005B6BD0" w:rsidRPr="00905BD4" w:rsidRDefault="00000000">
      <w:pPr>
        <w:pStyle w:val="Titre1"/>
        <w:rPr>
          <w:rFonts w:ascii="Avenir Book" w:hAnsi="Avenir Book"/>
          <w:color w:val="CE6B5C"/>
        </w:rPr>
      </w:pPr>
      <w:r w:rsidRPr="00905BD4">
        <w:rPr>
          <w:rFonts w:ascii="Avenir Book" w:hAnsi="Avenir Book"/>
          <w:color w:val="CE6B5C"/>
        </w:rPr>
        <w:t>Section 1  Principes d’accueil</w:t>
      </w:r>
    </w:p>
    <w:p w14:paraId="29504101"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Une situation de handicap résulte de l’interaction entre les caractéristiques d’une personne et son environnement. Elle peut être visible ou non, permanente, durable ou temporaire, et concerner notamment les fonctions motrices, sensorielles, mentales, cognitives ou psychiques, un polyhandicap ou un trouble de santé invalidant.</w:t>
      </w:r>
    </w:p>
    <w:p w14:paraId="06DA9D5B"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Inspire Solutions s’engage à :</w:t>
      </w:r>
    </w:p>
    <w:p w14:paraId="0BD3654F"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accueillir les demandes sans discrimination et dans le respect de la dignité et de la confidentialité ;</w:t>
      </w:r>
    </w:p>
    <w:p w14:paraId="47E2327C"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identifier les besoins utiles au suivi de la formation sans demander d’informations médicales non nécessaires ;</w:t>
      </w:r>
    </w:p>
    <w:p w14:paraId="4BB78E05"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rechercher des aménagements raisonnables, proportionnés et compatibles avec les objectifs de la formation ;</w:t>
      </w:r>
    </w:p>
    <w:p w14:paraId="5BD040E3"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associer la personne concernée aux décisions qui touchent son parcours ;</w:t>
      </w:r>
    </w:p>
    <w:p w14:paraId="5F5633F5"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mobiliser des partenaires spécialisés lorsque l’expertise interne ne suffit pas ;</w:t>
      </w:r>
    </w:p>
    <w:p w14:paraId="091422A3" w14:textId="77777777" w:rsidR="005B6BD0" w:rsidRPr="00315FCA" w:rsidRDefault="00000000">
      <w:pPr>
        <w:pStyle w:val="Listepuces"/>
        <w:rPr>
          <w:rFonts w:ascii="Avenir Book" w:hAnsi="Avenir Book"/>
          <w:color w:val="1F497D" w:themeColor="text2"/>
        </w:rPr>
      </w:pPr>
      <w:r w:rsidRPr="00315FCA">
        <w:rPr>
          <w:rFonts w:ascii="Avenir Book" w:hAnsi="Avenir Book"/>
          <w:color w:val="1F497D" w:themeColor="text2"/>
        </w:rPr>
        <w:t>orienter la personne vers une solution adaptée lorsqu’une adaptation ne peut raisonnablement être mise en œuvre.</w:t>
      </w:r>
    </w:p>
    <w:p w14:paraId="64817884" w14:textId="77777777" w:rsidR="005B6BD0" w:rsidRPr="00905BD4" w:rsidRDefault="00000000">
      <w:pPr>
        <w:pStyle w:val="Titre1"/>
        <w:rPr>
          <w:rFonts w:ascii="Avenir Book" w:hAnsi="Avenir Book"/>
          <w:color w:val="CE6B5C"/>
        </w:rPr>
      </w:pPr>
      <w:r w:rsidRPr="00905BD4">
        <w:rPr>
          <w:rFonts w:ascii="Avenir Book" w:hAnsi="Avenir Book"/>
          <w:color w:val="CE6B5C"/>
        </w:rPr>
        <w:t>Section 2  Référente handicap</w:t>
      </w:r>
    </w:p>
    <w:p w14:paraId="55F94DB9"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La référente handicap coordonne l’analyse des besoins, les échanges avec la personne, le client, le formateur et, avec l’accord de la personne concernée, les partenaires spécialisés. Elle suit la mise en œuvre et l’efficacité des adaptations retenues.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20"/>
        <w:gridCol w:w="7416"/>
      </w:tblGrid>
      <w:tr w:rsidR="005B6BD0" w:rsidRPr="00315FCA" w14:paraId="4CCE4A80" w14:textId="77777777">
        <w:trPr>
          <w:jc w:val="center"/>
        </w:trPr>
        <w:tc>
          <w:tcPr>
            <w:tcW w:w="2520" w:type="dxa"/>
            <w:shd w:val="clear" w:color="auto" w:fill="D9EAF7"/>
            <w:tcMar>
              <w:top w:w="100" w:type="dxa"/>
              <w:left w:w="120" w:type="dxa"/>
              <w:bottom w:w="100" w:type="dxa"/>
              <w:right w:w="120" w:type="dxa"/>
            </w:tcMar>
            <w:vAlign w:val="center"/>
          </w:tcPr>
          <w:p w14:paraId="58279004"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Référente handicap</w:t>
            </w:r>
          </w:p>
        </w:tc>
        <w:tc>
          <w:tcPr>
            <w:tcW w:w="7416" w:type="dxa"/>
            <w:tcMar>
              <w:top w:w="100" w:type="dxa"/>
              <w:left w:w="120" w:type="dxa"/>
              <w:bottom w:w="100" w:type="dxa"/>
              <w:right w:w="120" w:type="dxa"/>
            </w:tcMar>
            <w:vAlign w:val="center"/>
          </w:tcPr>
          <w:p w14:paraId="00CCD32E"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Géraldine PERROUD</w:t>
            </w:r>
          </w:p>
        </w:tc>
      </w:tr>
      <w:tr w:rsidR="005B6BD0" w:rsidRPr="00315FCA" w14:paraId="3FDD125E" w14:textId="77777777">
        <w:trPr>
          <w:jc w:val="center"/>
        </w:trPr>
        <w:tc>
          <w:tcPr>
            <w:tcW w:w="2520" w:type="dxa"/>
            <w:shd w:val="clear" w:color="auto" w:fill="D9EAF7"/>
            <w:tcMar>
              <w:top w:w="100" w:type="dxa"/>
              <w:left w:w="120" w:type="dxa"/>
              <w:bottom w:w="100" w:type="dxa"/>
              <w:right w:w="120" w:type="dxa"/>
            </w:tcMar>
            <w:vAlign w:val="center"/>
          </w:tcPr>
          <w:p w14:paraId="210CF296"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Courriel</w:t>
            </w:r>
          </w:p>
        </w:tc>
        <w:tc>
          <w:tcPr>
            <w:tcW w:w="7416" w:type="dxa"/>
            <w:tcMar>
              <w:top w:w="100" w:type="dxa"/>
              <w:left w:w="120" w:type="dxa"/>
              <w:bottom w:w="100" w:type="dxa"/>
              <w:right w:w="120" w:type="dxa"/>
            </w:tcMar>
            <w:vAlign w:val="center"/>
          </w:tcPr>
          <w:p w14:paraId="08C31A85"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geraldine.perroud@inspire-solutions.fr</w:t>
            </w:r>
          </w:p>
        </w:tc>
      </w:tr>
      <w:tr w:rsidR="005B6BD0" w:rsidRPr="00315FCA" w14:paraId="629C42B6" w14:textId="77777777">
        <w:trPr>
          <w:jc w:val="center"/>
        </w:trPr>
        <w:tc>
          <w:tcPr>
            <w:tcW w:w="2520" w:type="dxa"/>
            <w:shd w:val="clear" w:color="auto" w:fill="D9EAF7"/>
            <w:tcMar>
              <w:top w:w="100" w:type="dxa"/>
              <w:left w:w="120" w:type="dxa"/>
              <w:bottom w:w="100" w:type="dxa"/>
              <w:right w:w="120" w:type="dxa"/>
            </w:tcMar>
            <w:vAlign w:val="center"/>
          </w:tcPr>
          <w:p w14:paraId="1F1686E1"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Moment du contact</w:t>
            </w:r>
          </w:p>
        </w:tc>
        <w:tc>
          <w:tcPr>
            <w:tcW w:w="7416" w:type="dxa"/>
            <w:tcMar>
              <w:top w:w="100" w:type="dxa"/>
              <w:left w:w="120" w:type="dxa"/>
              <w:bottom w:w="100" w:type="dxa"/>
              <w:right w:w="120" w:type="dxa"/>
            </w:tcMar>
            <w:vAlign w:val="center"/>
          </w:tcPr>
          <w:p w14:paraId="3E411A57"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Dès que possible avant la formation et à tout moment pendant le parcours</w:t>
            </w:r>
          </w:p>
        </w:tc>
      </w:tr>
    </w:tbl>
    <w:p w14:paraId="1FB8286B" w14:textId="77777777" w:rsidR="005B6BD0" w:rsidRPr="00905BD4" w:rsidRDefault="00000000">
      <w:pPr>
        <w:pStyle w:val="Titre1"/>
        <w:rPr>
          <w:rFonts w:ascii="Avenir Book" w:hAnsi="Avenir Book"/>
          <w:color w:val="CE6B5C"/>
        </w:rPr>
      </w:pPr>
      <w:r w:rsidRPr="00905BD4">
        <w:rPr>
          <w:rFonts w:ascii="Avenir Book" w:hAnsi="Avenir Book"/>
          <w:color w:val="CE6B5C"/>
        </w:rPr>
        <w:lastRenderedPageBreak/>
        <w:t>Section 3  Procédure d’adaptation</w:t>
      </w:r>
    </w:p>
    <w:p w14:paraId="76F364B6" w14:textId="77777777" w:rsidR="005B6BD0" w:rsidRPr="00315FCA" w:rsidRDefault="00000000">
      <w:pPr>
        <w:pStyle w:val="Titre3"/>
        <w:rPr>
          <w:rFonts w:ascii="Avenir Book" w:hAnsi="Avenir Book"/>
          <w:color w:val="1F497D" w:themeColor="text2"/>
        </w:rPr>
      </w:pPr>
      <w:r w:rsidRPr="00315FCA">
        <w:rPr>
          <w:rFonts w:ascii="Avenir Book" w:hAnsi="Avenir Book"/>
          <w:color w:val="1F497D" w:themeColor="text2"/>
        </w:rPr>
        <w:t>Informer</w:t>
      </w:r>
    </w:p>
    <w:p w14:paraId="726BA422"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Les programmes, convocations ou échanges préparatoires indiquent la possibilité de signaler un besoin d’adaptation et donnent les coordonnées de la référente handicap.</w:t>
      </w:r>
    </w:p>
    <w:p w14:paraId="26849C85" w14:textId="77777777" w:rsidR="005B6BD0" w:rsidRPr="00315FCA" w:rsidRDefault="00000000">
      <w:pPr>
        <w:pStyle w:val="Titre3"/>
        <w:rPr>
          <w:rFonts w:ascii="Avenir Book" w:hAnsi="Avenir Book"/>
          <w:color w:val="1F497D" w:themeColor="text2"/>
        </w:rPr>
      </w:pPr>
      <w:r w:rsidRPr="00315FCA">
        <w:rPr>
          <w:rFonts w:ascii="Avenir Book" w:hAnsi="Avenir Book"/>
          <w:color w:val="1F497D" w:themeColor="text2"/>
        </w:rPr>
        <w:t>Recueillir le besoin</w:t>
      </w:r>
    </w:p>
    <w:p w14:paraId="48757102"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La référente échange avec la personne sur les conséquences concrètes de sa situation pour l’accès, la participation, les activités, les supports et l’évaluation. Seules les informations utiles sont recueillies.</w:t>
      </w:r>
    </w:p>
    <w:p w14:paraId="5C7D39A2" w14:textId="77777777" w:rsidR="005B6BD0" w:rsidRPr="00315FCA" w:rsidRDefault="00000000">
      <w:pPr>
        <w:pStyle w:val="Titre3"/>
        <w:rPr>
          <w:rFonts w:ascii="Avenir Book" w:hAnsi="Avenir Book"/>
          <w:color w:val="1F497D" w:themeColor="text2"/>
        </w:rPr>
      </w:pPr>
      <w:r w:rsidRPr="00315FCA">
        <w:rPr>
          <w:rFonts w:ascii="Avenir Book" w:hAnsi="Avenir Book"/>
          <w:color w:val="1F497D" w:themeColor="text2"/>
        </w:rPr>
        <w:t>Analyser la faisabilité</w:t>
      </w:r>
    </w:p>
    <w:p w14:paraId="4B18E8DF"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Les exigences de la formation, les contraintes du lieu, les moyens disponibles et les solutions possibles sont examinés avec le formateur et, si nécessaire, avec le client, le financeur ou un partenaire spécialisé.</w:t>
      </w:r>
    </w:p>
    <w:p w14:paraId="15AA97DE" w14:textId="77777777" w:rsidR="005B6BD0" w:rsidRPr="00315FCA" w:rsidRDefault="00000000">
      <w:pPr>
        <w:pStyle w:val="Titre3"/>
        <w:rPr>
          <w:rFonts w:ascii="Avenir Book" w:hAnsi="Avenir Book"/>
          <w:color w:val="1F497D" w:themeColor="text2"/>
        </w:rPr>
      </w:pPr>
      <w:r w:rsidRPr="00315FCA">
        <w:rPr>
          <w:rFonts w:ascii="Avenir Book" w:hAnsi="Avenir Book"/>
          <w:color w:val="1F497D" w:themeColor="text2"/>
        </w:rPr>
        <w:t>Formaliser la réponse</w:t>
      </w:r>
    </w:p>
    <w:p w14:paraId="4C90E5DB"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Les aménagements retenus, leur responsable et leurs modalités de mise en œuvre sont confirmés à la personne concernée. Tout partage d’information avec un tiers est limité au strict nécessaire.</w:t>
      </w:r>
    </w:p>
    <w:p w14:paraId="6DCEE3F7" w14:textId="77777777" w:rsidR="005B6BD0" w:rsidRPr="00315FCA" w:rsidRDefault="00000000">
      <w:pPr>
        <w:pStyle w:val="Titre3"/>
        <w:rPr>
          <w:rFonts w:ascii="Avenir Book" w:hAnsi="Avenir Book"/>
          <w:color w:val="1F497D" w:themeColor="text2"/>
        </w:rPr>
      </w:pPr>
      <w:r w:rsidRPr="00315FCA">
        <w:rPr>
          <w:rFonts w:ascii="Avenir Book" w:hAnsi="Avenir Book"/>
          <w:color w:val="1F497D" w:themeColor="text2"/>
        </w:rPr>
        <w:t>Suivre et ajuster</w:t>
      </w:r>
    </w:p>
    <w:p w14:paraId="350C59AA"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L’efficacité des aménagements est vérifiée pendant la formation. Ils sont ajustés lorsque le besoin évolue ou qu’une difficulté apparaît.</w:t>
      </w:r>
    </w:p>
    <w:p w14:paraId="35D8ADFE" w14:textId="77777777" w:rsidR="005B6BD0" w:rsidRPr="00315FCA" w:rsidRDefault="00000000">
      <w:pPr>
        <w:pStyle w:val="Titre3"/>
        <w:rPr>
          <w:rFonts w:ascii="Avenir Book" w:hAnsi="Avenir Book"/>
          <w:color w:val="1F497D" w:themeColor="text2"/>
        </w:rPr>
      </w:pPr>
      <w:r w:rsidRPr="00315FCA">
        <w:rPr>
          <w:rFonts w:ascii="Avenir Book" w:hAnsi="Avenir Book"/>
          <w:color w:val="1F497D" w:themeColor="text2"/>
        </w:rPr>
        <w:t>Clôturer et capitaliser</w:t>
      </w:r>
    </w:p>
    <w:p w14:paraId="5497BDF1"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 retour de la personne et du formateur est recueilli. Les éléments utiles sont conservés afin d’améliorer les pratiques, dans le respect des règles de protection des données.</w:t>
      </w:r>
    </w:p>
    <w:p w14:paraId="5C5EAA21" w14:textId="77777777" w:rsidR="005B6BD0" w:rsidRPr="00905BD4" w:rsidRDefault="00000000">
      <w:pPr>
        <w:pStyle w:val="Titre1"/>
        <w:rPr>
          <w:rFonts w:ascii="Avenir Book" w:hAnsi="Avenir Book"/>
          <w:color w:val="CE6B5C"/>
        </w:rPr>
      </w:pPr>
      <w:r w:rsidRPr="00905BD4">
        <w:rPr>
          <w:rFonts w:ascii="Avenir Book" w:hAnsi="Avenir Book"/>
          <w:color w:val="CE6B5C"/>
        </w:rPr>
        <w:t>Section 4  Exemples d’aménagements</w:t>
      </w:r>
    </w:p>
    <w:p w14:paraId="36B19D30"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Les adaptations sont déterminées au cas par cas. Elles peuvent notamment porter sur les éléments suivants, sans que cette liste soit limitative.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80"/>
        <w:gridCol w:w="7056"/>
      </w:tblGrid>
      <w:tr w:rsidR="005B6BD0" w:rsidRPr="00315FCA" w14:paraId="184ADA50" w14:textId="77777777">
        <w:trPr>
          <w:cantSplit/>
          <w:tblHeader/>
          <w:jc w:val="center"/>
        </w:trPr>
        <w:tc>
          <w:tcPr>
            <w:tcW w:w="2880" w:type="dxa"/>
            <w:shd w:val="clear" w:color="auto" w:fill="1F4E79"/>
            <w:tcMar>
              <w:top w:w="100" w:type="dxa"/>
              <w:left w:w="120" w:type="dxa"/>
              <w:bottom w:w="100" w:type="dxa"/>
              <w:right w:w="120" w:type="dxa"/>
            </w:tcMar>
          </w:tcPr>
          <w:p w14:paraId="56E8152D"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Domaine</w:t>
            </w:r>
          </w:p>
        </w:tc>
        <w:tc>
          <w:tcPr>
            <w:tcW w:w="7056" w:type="dxa"/>
            <w:shd w:val="clear" w:color="auto" w:fill="1F4E79"/>
            <w:tcMar>
              <w:top w:w="100" w:type="dxa"/>
              <w:left w:w="120" w:type="dxa"/>
              <w:bottom w:w="100" w:type="dxa"/>
              <w:right w:w="120" w:type="dxa"/>
            </w:tcMar>
          </w:tcPr>
          <w:p w14:paraId="208137EA"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Adaptations envisageables</w:t>
            </w:r>
          </w:p>
        </w:tc>
      </w:tr>
      <w:tr w:rsidR="005B6BD0" w:rsidRPr="00315FCA" w14:paraId="7528019C" w14:textId="77777777">
        <w:trPr>
          <w:cantSplit/>
          <w:jc w:val="center"/>
        </w:trPr>
        <w:tc>
          <w:tcPr>
            <w:tcW w:w="2880" w:type="dxa"/>
            <w:tcMar>
              <w:top w:w="100" w:type="dxa"/>
              <w:left w:w="120" w:type="dxa"/>
              <w:bottom w:w="100" w:type="dxa"/>
              <w:right w:w="120" w:type="dxa"/>
            </w:tcMar>
            <w:vAlign w:val="center"/>
          </w:tcPr>
          <w:p w14:paraId="0AA5DB6C"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Accès et installation</w:t>
            </w:r>
          </w:p>
        </w:tc>
        <w:tc>
          <w:tcPr>
            <w:tcW w:w="7056" w:type="dxa"/>
            <w:tcMar>
              <w:top w:w="100" w:type="dxa"/>
              <w:left w:w="120" w:type="dxa"/>
              <w:bottom w:w="100" w:type="dxa"/>
              <w:right w:w="120" w:type="dxa"/>
            </w:tcMar>
            <w:vAlign w:val="center"/>
          </w:tcPr>
          <w:p w14:paraId="17DF8618"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Vérification de l’accessibilité du lieu, choix d’une salle adaptée, place réservée, circulation facilitée, modalité à distance lorsque pertinente.</w:t>
            </w:r>
          </w:p>
        </w:tc>
      </w:tr>
      <w:tr w:rsidR="005B6BD0" w:rsidRPr="00315FCA" w14:paraId="31281286" w14:textId="77777777">
        <w:trPr>
          <w:cantSplit/>
          <w:jc w:val="center"/>
        </w:trPr>
        <w:tc>
          <w:tcPr>
            <w:tcW w:w="2880" w:type="dxa"/>
            <w:shd w:val="clear" w:color="auto" w:fill="F3F7FA"/>
            <w:tcMar>
              <w:top w:w="100" w:type="dxa"/>
              <w:left w:w="120" w:type="dxa"/>
              <w:bottom w:w="100" w:type="dxa"/>
              <w:right w:w="120" w:type="dxa"/>
            </w:tcMar>
            <w:vAlign w:val="center"/>
          </w:tcPr>
          <w:p w14:paraId="1AD2B509"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Rythme et organisation</w:t>
            </w:r>
          </w:p>
        </w:tc>
        <w:tc>
          <w:tcPr>
            <w:tcW w:w="7056" w:type="dxa"/>
            <w:shd w:val="clear" w:color="auto" w:fill="F3F7FA"/>
            <w:tcMar>
              <w:top w:w="100" w:type="dxa"/>
              <w:left w:w="120" w:type="dxa"/>
              <w:bottom w:w="100" w:type="dxa"/>
              <w:right w:w="120" w:type="dxa"/>
            </w:tcMar>
            <w:vAlign w:val="center"/>
          </w:tcPr>
          <w:p w14:paraId="2077DB62"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Pauses supplémentaires, horaires ajustés, fractionnement d’activités, temps majoré, anticipation des absences liées aux soins lorsque le dispositif le permet.</w:t>
            </w:r>
          </w:p>
        </w:tc>
      </w:tr>
      <w:tr w:rsidR="005B6BD0" w:rsidRPr="00315FCA" w14:paraId="0BA43DCB" w14:textId="77777777">
        <w:trPr>
          <w:cantSplit/>
          <w:jc w:val="center"/>
        </w:trPr>
        <w:tc>
          <w:tcPr>
            <w:tcW w:w="2880" w:type="dxa"/>
            <w:tcMar>
              <w:top w:w="100" w:type="dxa"/>
              <w:left w:w="120" w:type="dxa"/>
              <w:bottom w:w="100" w:type="dxa"/>
              <w:right w:w="120" w:type="dxa"/>
            </w:tcMar>
            <w:vAlign w:val="center"/>
          </w:tcPr>
          <w:p w14:paraId="695B62F0"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Supports</w:t>
            </w:r>
          </w:p>
        </w:tc>
        <w:tc>
          <w:tcPr>
            <w:tcW w:w="7056" w:type="dxa"/>
            <w:tcMar>
              <w:top w:w="100" w:type="dxa"/>
              <w:left w:w="120" w:type="dxa"/>
              <w:bottom w:w="100" w:type="dxa"/>
              <w:right w:w="120" w:type="dxa"/>
            </w:tcMar>
            <w:vAlign w:val="center"/>
          </w:tcPr>
          <w:p w14:paraId="71EF7D3B"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Transmission anticipée, version numérique modifiable, police lisible, contraste renforcé, documents structurés, consignes reformulées, alternatives aux contenus uniquement visuels ou sonores.</w:t>
            </w:r>
          </w:p>
        </w:tc>
      </w:tr>
      <w:tr w:rsidR="005B6BD0" w:rsidRPr="00315FCA" w14:paraId="3E2D58F8" w14:textId="77777777">
        <w:trPr>
          <w:cantSplit/>
          <w:jc w:val="center"/>
        </w:trPr>
        <w:tc>
          <w:tcPr>
            <w:tcW w:w="2880" w:type="dxa"/>
            <w:shd w:val="clear" w:color="auto" w:fill="F3F7FA"/>
            <w:tcMar>
              <w:top w:w="100" w:type="dxa"/>
              <w:left w:w="120" w:type="dxa"/>
              <w:bottom w:w="100" w:type="dxa"/>
              <w:right w:w="120" w:type="dxa"/>
            </w:tcMar>
            <w:vAlign w:val="center"/>
          </w:tcPr>
          <w:p w14:paraId="36E343E0"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lastRenderedPageBreak/>
              <w:t>Animation</w:t>
            </w:r>
          </w:p>
        </w:tc>
        <w:tc>
          <w:tcPr>
            <w:tcW w:w="7056" w:type="dxa"/>
            <w:shd w:val="clear" w:color="auto" w:fill="F3F7FA"/>
            <w:tcMar>
              <w:top w:w="100" w:type="dxa"/>
              <w:left w:w="120" w:type="dxa"/>
              <w:bottom w:w="100" w:type="dxa"/>
              <w:right w:w="120" w:type="dxa"/>
            </w:tcMar>
            <w:vAlign w:val="center"/>
          </w:tcPr>
          <w:p w14:paraId="47AFCBE1"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Débit adapté, répétition ou reformulation, consignes écrites et orales, limitation des doubles tâches, travail individuel ou en sous-groupe, placement facilitant l’écoute ou la lecture labiale.</w:t>
            </w:r>
          </w:p>
        </w:tc>
      </w:tr>
      <w:tr w:rsidR="005B6BD0" w:rsidRPr="00315FCA" w14:paraId="3F628547" w14:textId="77777777">
        <w:trPr>
          <w:cantSplit/>
          <w:jc w:val="center"/>
        </w:trPr>
        <w:tc>
          <w:tcPr>
            <w:tcW w:w="2880" w:type="dxa"/>
            <w:tcMar>
              <w:top w:w="100" w:type="dxa"/>
              <w:left w:w="120" w:type="dxa"/>
              <w:bottom w:w="100" w:type="dxa"/>
              <w:right w:w="120" w:type="dxa"/>
            </w:tcMar>
            <w:vAlign w:val="center"/>
          </w:tcPr>
          <w:p w14:paraId="6CBB00F3"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Outils et communication</w:t>
            </w:r>
          </w:p>
        </w:tc>
        <w:tc>
          <w:tcPr>
            <w:tcW w:w="7056" w:type="dxa"/>
            <w:tcMar>
              <w:top w:w="100" w:type="dxa"/>
              <w:left w:w="120" w:type="dxa"/>
              <w:bottom w:w="100" w:type="dxa"/>
              <w:right w:w="120" w:type="dxa"/>
            </w:tcMar>
            <w:vAlign w:val="center"/>
          </w:tcPr>
          <w:p w14:paraId="5D2068D4"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Sous-titrage ou transcription, compatibilité avec les technologies d’assistance, utilisation du chat, microphone adapté, interprétariat ou interface de communication selon faisabilité et financement.</w:t>
            </w:r>
          </w:p>
        </w:tc>
      </w:tr>
      <w:tr w:rsidR="005B6BD0" w:rsidRPr="00315FCA" w14:paraId="38FC8834" w14:textId="77777777">
        <w:trPr>
          <w:cantSplit/>
          <w:jc w:val="center"/>
        </w:trPr>
        <w:tc>
          <w:tcPr>
            <w:tcW w:w="2880" w:type="dxa"/>
            <w:shd w:val="clear" w:color="auto" w:fill="F3F7FA"/>
            <w:tcMar>
              <w:top w:w="100" w:type="dxa"/>
              <w:left w:w="120" w:type="dxa"/>
              <w:bottom w:w="100" w:type="dxa"/>
              <w:right w:w="120" w:type="dxa"/>
            </w:tcMar>
            <w:vAlign w:val="center"/>
          </w:tcPr>
          <w:p w14:paraId="419FBCB9"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Évaluation</w:t>
            </w:r>
          </w:p>
        </w:tc>
        <w:tc>
          <w:tcPr>
            <w:tcW w:w="7056" w:type="dxa"/>
            <w:shd w:val="clear" w:color="auto" w:fill="F3F7FA"/>
            <w:tcMar>
              <w:top w:w="100" w:type="dxa"/>
              <w:left w:w="120" w:type="dxa"/>
              <w:bottom w:w="100" w:type="dxa"/>
              <w:right w:w="120" w:type="dxa"/>
            </w:tcMar>
            <w:vAlign w:val="center"/>
          </w:tcPr>
          <w:p w14:paraId="2817ED6F"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Temps supplémentaire, pauses, consignes adaptées, modalité de réponse différente ou environnement aménagé, sous réserve de préserver les objectifs et critères évalués.</w:t>
            </w:r>
          </w:p>
        </w:tc>
      </w:tr>
    </w:tbl>
    <w:p w14:paraId="4B01F44D" w14:textId="77777777" w:rsidR="005B6BD0" w:rsidRPr="00905BD4" w:rsidRDefault="00000000">
      <w:pPr>
        <w:pStyle w:val="Titre1"/>
        <w:rPr>
          <w:rFonts w:ascii="Avenir Book" w:hAnsi="Avenir Book"/>
          <w:color w:val="CE6B5C"/>
        </w:rPr>
      </w:pPr>
      <w:r w:rsidRPr="00905BD4">
        <w:rPr>
          <w:rFonts w:ascii="Avenir Book" w:hAnsi="Avenir Book"/>
          <w:color w:val="CE6B5C"/>
        </w:rPr>
        <w:t>Section 5  Mobilisation du réseau handicap</w:t>
      </w:r>
    </w:p>
    <w:p w14:paraId="25061DC5"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Lorsque la situation nécessite une expertise, un conseil ou un financement spécifique, Inspire Solutions peut, avec l’accord de la personne concernée, mobiliser ou orienter vers les acteurs suivants.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76"/>
        <w:gridCol w:w="4968"/>
        <w:gridCol w:w="2592"/>
      </w:tblGrid>
      <w:tr w:rsidR="005B6BD0" w:rsidRPr="00315FCA" w14:paraId="3F7BDEB4" w14:textId="77777777">
        <w:trPr>
          <w:cantSplit/>
          <w:tblHeader/>
          <w:jc w:val="center"/>
        </w:trPr>
        <w:tc>
          <w:tcPr>
            <w:tcW w:w="2376" w:type="dxa"/>
            <w:shd w:val="clear" w:color="auto" w:fill="1F4E79"/>
            <w:tcMar>
              <w:top w:w="100" w:type="dxa"/>
              <w:left w:w="120" w:type="dxa"/>
              <w:bottom w:w="100" w:type="dxa"/>
              <w:right w:w="120" w:type="dxa"/>
            </w:tcMar>
          </w:tcPr>
          <w:p w14:paraId="76B0C257"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Acteur</w:t>
            </w:r>
          </w:p>
        </w:tc>
        <w:tc>
          <w:tcPr>
            <w:tcW w:w="4968" w:type="dxa"/>
            <w:shd w:val="clear" w:color="auto" w:fill="1F4E79"/>
            <w:tcMar>
              <w:top w:w="100" w:type="dxa"/>
              <w:left w:w="120" w:type="dxa"/>
              <w:bottom w:w="100" w:type="dxa"/>
              <w:right w:w="120" w:type="dxa"/>
            </w:tcMar>
          </w:tcPr>
          <w:p w14:paraId="761C7126"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Mobilisation possible</w:t>
            </w:r>
          </w:p>
        </w:tc>
        <w:tc>
          <w:tcPr>
            <w:tcW w:w="2592" w:type="dxa"/>
            <w:shd w:val="clear" w:color="auto" w:fill="1F4E79"/>
            <w:tcMar>
              <w:top w:w="100" w:type="dxa"/>
              <w:left w:w="120" w:type="dxa"/>
              <w:bottom w:w="100" w:type="dxa"/>
              <w:right w:w="120" w:type="dxa"/>
            </w:tcMar>
          </w:tcPr>
          <w:p w14:paraId="3C2DAE13"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Accès</w:t>
            </w:r>
          </w:p>
        </w:tc>
      </w:tr>
      <w:tr w:rsidR="005B6BD0" w:rsidRPr="00315FCA" w14:paraId="1DB1085F" w14:textId="77777777">
        <w:trPr>
          <w:cantSplit/>
          <w:jc w:val="center"/>
        </w:trPr>
        <w:tc>
          <w:tcPr>
            <w:tcW w:w="2376" w:type="dxa"/>
            <w:tcMar>
              <w:top w:w="100" w:type="dxa"/>
              <w:left w:w="120" w:type="dxa"/>
              <w:bottom w:w="100" w:type="dxa"/>
              <w:right w:w="120" w:type="dxa"/>
            </w:tcMar>
            <w:vAlign w:val="center"/>
          </w:tcPr>
          <w:p w14:paraId="0E1B6407"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Agefiph et Ressource Handicap Formation</w:t>
            </w:r>
          </w:p>
        </w:tc>
        <w:tc>
          <w:tcPr>
            <w:tcW w:w="4968" w:type="dxa"/>
            <w:tcMar>
              <w:top w:w="100" w:type="dxa"/>
              <w:left w:w="120" w:type="dxa"/>
              <w:bottom w:w="100" w:type="dxa"/>
              <w:right w:w="120" w:type="dxa"/>
            </w:tcMar>
            <w:vAlign w:val="center"/>
          </w:tcPr>
          <w:p w14:paraId="4BD922B4"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Appui aux organismes de formation, analyse des besoins de compensation et recherche de solutions pour les personnes relevant du secteur privé.</w:t>
            </w:r>
          </w:p>
        </w:tc>
        <w:tc>
          <w:tcPr>
            <w:tcW w:w="2592" w:type="dxa"/>
            <w:tcMar>
              <w:top w:w="100" w:type="dxa"/>
              <w:left w:w="120" w:type="dxa"/>
              <w:bottom w:w="100" w:type="dxa"/>
              <w:right w:w="120" w:type="dxa"/>
            </w:tcMar>
            <w:vAlign w:val="center"/>
          </w:tcPr>
          <w:p w14:paraId="64153C23" w14:textId="77777777" w:rsidR="005B6BD0" w:rsidRPr="00315FCA" w:rsidRDefault="00000000">
            <w:pPr>
              <w:rPr>
                <w:rFonts w:ascii="Avenir Book" w:hAnsi="Avenir Book"/>
                <w:color w:val="1F497D" w:themeColor="text2"/>
              </w:rPr>
            </w:pPr>
            <w:hyperlink r:id="rId8">
              <w:r w:rsidRPr="00315FCA">
                <w:rPr>
                  <w:rFonts w:ascii="Avenir Book" w:hAnsi="Avenir Book"/>
                  <w:color w:val="1F497D" w:themeColor="text2"/>
                  <w:u w:val="single"/>
                </w:rPr>
                <w:t>www.agefiph.fr</w:t>
              </w:r>
            </w:hyperlink>
          </w:p>
        </w:tc>
      </w:tr>
      <w:tr w:rsidR="005B6BD0" w:rsidRPr="00315FCA" w14:paraId="12C62B03" w14:textId="77777777">
        <w:trPr>
          <w:cantSplit/>
          <w:jc w:val="center"/>
        </w:trPr>
        <w:tc>
          <w:tcPr>
            <w:tcW w:w="2376" w:type="dxa"/>
            <w:shd w:val="clear" w:color="auto" w:fill="F3F7FA"/>
            <w:tcMar>
              <w:top w:w="100" w:type="dxa"/>
              <w:left w:w="120" w:type="dxa"/>
              <w:bottom w:w="100" w:type="dxa"/>
              <w:right w:w="120" w:type="dxa"/>
            </w:tcMar>
            <w:vAlign w:val="center"/>
          </w:tcPr>
          <w:p w14:paraId="2B9AEF71"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Cap emploi</w:t>
            </w:r>
          </w:p>
        </w:tc>
        <w:tc>
          <w:tcPr>
            <w:tcW w:w="4968" w:type="dxa"/>
            <w:shd w:val="clear" w:color="auto" w:fill="F3F7FA"/>
            <w:tcMar>
              <w:top w:w="100" w:type="dxa"/>
              <w:left w:w="120" w:type="dxa"/>
              <w:bottom w:w="100" w:type="dxa"/>
              <w:right w:w="120" w:type="dxa"/>
            </w:tcMar>
            <w:vAlign w:val="center"/>
          </w:tcPr>
          <w:p w14:paraId="71E08E1A"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Appui à l’insertion, au maintien dans l’emploi et à la coordination des solutions liées au handicap.</w:t>
            </w:r>
          </w:p>
        </w:tc>
        <w:tc>
          <w:tcPr>
            <w:tcW w:w="2592" w:type="dxa"/>
            <w:shd w:val="clear" w:color="auto" w:fill="F3F7FA"/>
            <w:tcMar>
              <w:top w:w="100" w:type="dxa"/>
              <w:left w:w="120" w:type="dxa"/>
              <w:bottom w:w="100" w:type="dxa"/>
              <w:right w:w="120" w:type="dxa"/>
            </w:tcMar>
            <w:vAlign w:val="center"/>
          </w:tcPr>
          <w:p w14:paraId="4EB8634C" w14:textId="77777777" w:rsidR="005B6BD0" w:rsidRPr="00315FCA" w:rsidRDefault="00000000">
            <w:pPr>
              <w:rPr>
                <w:rFonts w:ascii="Avenir Book" w:hAnsi="Avenir Book"/>
                <w:color w:val="1F497D" w:themeColor="text2"/>
              </w:rPr>
            </w:pPr>
            <w:hyperlink r:id="rId9">
              <w:r w:rsidRPr="00315FCA">
                <w:rPr>
                  <w:rFonts w:ascii="Avenir Book" w:hAnsi="Avenir Book"/>
                  <w:color w:val="1F497D" w:themeColor="text2"/>
                  <w:u w:val="single"/>
                </w:rPr>
                <w:t>www.capemploi.info</w:t>
              </w:r>
            </w:hyperlink>
          </w:p>
        </w:tc>
      </w:tr>
      <w:tr w:rsidR="005B6BD0" w:rsidRPr="00315FCA" w14:paraId="7FF56517" w14:textId="77777777">
        <w:trPr>
          <w:cantSplit/>
          <w:jc w:val="center"/>
        </w:trPr>
        <w:tc>
          <w:tcPr>
            <w:tcW w:w="2376" w:type="dxa"/>
            <w:tcMar>
              <w:top w:w="100" w:type="dxa"/>
              <w:left w:w="120" w:type="dxa"/>
              <w:bottom w:w="100" w:type="dxa"/>
              <w:right w:w="120" w:type="dxa"/>
            </w:tcMar>
            <w:vAlign w:val="center"/>
          </w:tcPr>
          <w:p w14:paraId="576CC1BE"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FIPHFP</w:t>
            </w:r>
          </w:p>
        </w:tc>
        <w:tc>
          <w:tcPr>
            <w:tcW w:w="4968" w:type="dxa"/>
            <w:tcMar>
              <w:top w:w="100" w:type="dxa"/>
              <w:left w:w="120" w:type="dxa"/>
              <w:bottom w:w="100" w:type="dxa"/>
              <w:right w:w="120" w:type="dxa"/>
            </w:tcMar>
            <w:vAlign w:val="center"/>
          </w:tcPr>
          <w:p w14:paraId="025183F3"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Ressources et aides pour les agents et employeurs des trois fonctions publiques.</w:t>
            </w:r>
          </w:p>
        </w:tc>
        <w:tc>
          <w:tcPr>
            <w:tcW w:w="2592" w:type="dxa"/>
            <w:tcMar>
              <w:top w:w="100" w:type="dxa"/>
              <w:left w:w="120" w:type="dxa"/>
              <w:bottom w:w="100" w:type="dxa"/>
              <w:right w:w="120" w:type="dxa"/>
            </w:tcMar>
            <w:vAlign w:val="center"/>
          </w:tcPr>
          <w:p w14:paraId="0C3FA04D" w14:textId="77777777" w:rsidR="005B6BD0" w:rsidRPr="00315FCA" w:rsidRDefault="00000000">
            <w:pPr>
              <w:rPr>
                <w:rFonts w:ascii="Avenir Book" w:hAnsi="Avenir Book"/>
                <w:color w:val="1F497D" w:themeColor="text2"/>
              </w:rPr>
            </w:pPr>
            <w:hyperlink r:id="rId10">
              <w:r w:rsidRPr="00315FCA">
                <w:rPr>
                  <w:rFonts w:ascii="Avenir Book" w:hAnsi="Avenir Book"/>
                  <w:color w:val="1F497D" w:themeColor="text2"/>
                  <w:u w:val="single"/>
                </w:rPr>
                <w:t>www.fiphfp.fr</w:t>
              </w:r>
            </w:hyperlink>
          </w:p>
        </w:tc>
      </w:tr>
      <w:tr w:rsidR="005B6BD0" w:rsidRPr="00315FCA" w14:paraId="0D3B54A2" w14:textId="77777777">
        <w:trPr>
          <w:cantSplit/>
          <w:jc w:val="center"/>
        </w:trPr>
        <w:tc>
          <w:tcPr>
            <w:tcW w:w="2376" w:type="dxa"/>
            <w:shd w:val="clear" w:color="auto" w:fill="F3F7FA"/>
            <w:tcMar>
              <w:top w:w="100" w:type="dxa"/>
              <w:left w:w="120" w:type="dxa"/>
              <w:bottom w:w="100" w:type="dxa"/>
              <w:right w:w="120" w:type="dxa"/>
            </w:tcMar>
            <w:vAlign w:val="center"/>
          </w:tcPr>
          <w:p w14:paraId="04342041" w14:textId="77777777" w:rsidR="005B6BD0" w:rsidRPr="00315FCA" w:rsidRDefault="00000000">
            <w:pPr>
              <w:rPr>
                <w:rFonts w:ascii="Avenir Book" w:hAnsi="Avenir Book"/>
                <w:color w:val="1F497D" w:themeColor="text2"/>
              </w:rPr>
            </w:pPr>
            <w:r w:rsidRPr="00315FCA">
              <w:rPr>
                <w:rFonts w:ascii="Avenir Book" w:hAnsi="Avenir Book"/>
                <w:b/>
                <w:color w:val="1F497D" w:themeColor="text2"/>
              </w:rPr>
              <w:t>Mon Parcours Handicap</w:t>
            </w:r>
          </w:p>
        </w:tc>
        <w:tc>
          <w:tcPr>
            <w:tcW w:w="4968" w:type="dxa"/>
            <w:shd w:val="clear" w:color="auto" w:fill="F3F7FA"/>
            <w:tcMar>
              <w:top w:w="100" w:type="dxa"/>
              <w:left w:w="120" w:type="dxa"/>
              <w:bottom w:w="100" w:type="dxa"/>
              <w:right w:w="120" w:type="dxa"/>
            </w:tcMar>
            <w:vAlign w:val="center"/>
          </w:tcPr>
          <w:p w14:paraId="5EC6205F"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Information nationale sur les droits, démarches, formation et emploi des personnes en situation de handicap.</w:t>
            </w:r>
          </w:p>
        </w:tc>
        <w:tc>
          <w:tcPr>
            <w:tcW w:w="2592" w:type="dxa"/>
            <w:shd w:val="clear" w:color="auto" w:fill="F3F7FA"/>
            <w:tcMar>
              <w:top w:w="100" w:type="dxa"/>
              <w:left w:w="120" w:type="dxa"/>
              <w:bottom w:w="100" w:type="dxa"/>
              <w:right w:w="120" w:type="dxa"/>
            </w:tcMar>
            <w:vAlign w:val="center"/>
          </w:tcPr>
          <w:p w14:paraId="71D4D6A4" w14:textId="77777777" w:rsidR="005B6BD0" w:rsidRPr="00315FCA" w:rsidRDefault="00000000">
            <w:pPr>
              <w:rPr>
                <w:rFonts w:ascii="Avenir Book" w:hAnsi="Avenir Book"/>
                <w:color w:val="1F497D" w:themeColor="text2"/>
              </w:rPr>
            </w:pPr>
            <w:hyperlink r:id="rId11">
              <w:r w:rsidRPr="00315FCA">
                <w:rPr>
                  <w:rFonts w:ascii="Avenir Book" w:hAnsi="Avenir Book"/>
                  <w:color w:val="1F497D" w:themeColor="text2"/>
                  <w:u w:val="single"/>
                </w:rPr>
                <w:t>www.monparcourshandicap.gouv.fr</w:t>
              </w:r>
            </w:hyperlink>
          </w:p>
        </w:tc>
      </w:tr>
    </w:tbl>
    <w:p w14:paraId="382A727D" w14:textId="77777777" w:rsidR="005B6BD0" w:rsidRPr="00905BD4" w:rsidRDefault="00000000">
      <w:pPr>
        <w:pStyle w:val="Titre1"/>
        <w:rPr>
          <w:rFonts w:ascii="Avenir Book" w:hAnsi="Avenir Book"/>
          <w:color w:val="CE6B5C"/>
        </w:rPr>
      </w:pPr>
      <w:r w:rsidRPr="00905BD4">
        <w:rPr>
          <w:rFonts w:ascii="Avenir Book" w:hAnsi="Avenir Book"/>
          <w:color w:val="CE6B5C"/>
        </w:rPr>
        <w:t>Section 6  Traçabilité et confidentialité</w:t>
      </w:r>
    </w:p>
    <w:p w14:paraId="4F77029F"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Pour chaque demande, Inspire Solutions conserve les éléments strictement nécessaires pour démontrer l’analyse du besoin, les échanges utiles, la décision prise, la mise en œuvre et le suivi. Les données de santé ne sont pas demandées lorsqu’elles ne sont pas nécessaires à la recherche d’un aménagement.</w:t>
      </w:r>
    </w:p>
    <w:p w14:paraId="23AC661B"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lastRenderedPageBreak/>
        <w:t>Les informations sont accessibles uniquement aux personnes qui doivent intervenir dans l’adaptation. Elles sont conservées pendant la durée nécessaire à la gestion du parcours et aux obligations de preuve, puis supprimées ou archivées conformément aux règles internes de protection des données.</w:t>
      </w:r>
    </w:p>
    <w:p w14:paraId="27D5D335" w14:textId="77777777" w:rsidR="005B6BD0" w:rsidRPr="00905BD4" w:rsidRDefault="00000000">
      <w:pPr>
        <w:pStyle w:val="Titre1"/>
        <w:rPr>
          <w:rFonts w:ascii="Avenir Book" w:hAnsi="Avenir Book"/>
          <w:color w:val="CE6B5C"/>
        </w:rPr>
      </w:pPr>
      <w:r w:rsidRPr="00905BD4">
        <w:rPr>
          <w:rFonts w:ascii="Avenir Book" w:hAnsi="Avenir Book"/>
          <w:color w:val="CE6B5C"/>
        </w:rPr>
        <w:t>Section 7  Amélioration continue</w:t>
      </w:r>
    </w:p>
    <w:p w14:paraId="511450F9" w14:textId="77777777" w:rsidR="005B6BD0" w:rsidRPr="00315FCA" w:rsidRDefault="00000000">
      <w:pPr>
        <w:rPr>
          <w:rFonts w:ascii="Avenir Book" w:hAnsi="Avenir Book"/>
          <w:color w:val="1F497D" w:themeColor="text2"/>
        </w:rPr>
      </w:pPr>
      <w:r w:rsidRPr="00315FCA">
        <w:rPr>
          <w:rFonts w:ascii="Avenir Book" w:hAnsi="Avenir Book"/>
          <w:color w:val="1F497D" w:themeColor="text2"/>
        </w:rPr>
        <w:t>La référente handicap actualise au moins une fois par an les ressources du réseau, les modalités de contact, les pratiques d’accessibilité et les besoins de professionnalisation. Les retours des stagiaires, formateurs, clients et partenaires alimentent le plan d’amélioration continue d’Inspire Solutions.</w:t>
      </w:r>
    </w:p>
    <w:p w14:paraId="13734D8E" w14:textId="77777777" w:rsidR="005B6BD0" w:rsidRPr="00315FCA" w:rsidRDefault="00000000">
      <w:pPr>
        <w:spacing w:before="240"/>
        <w:rPr>
          <w:rFonts w:ascii="Avenir Book" w:hAnsi="Avenir Book"/>
          <w:color w:val="1F497D" w:themeColor="text2"/>
        </w:rPr>
      </w:pPr>
      <w:r w:rsidRPr="00315FCA">
        <w:rPr>
          <w:rFonts w:ascii="Avenir Book" w:hAnsi="Avenir Book"/>
          <w:b/>
          <w:color w:val="1F497D" w:themeColor="text2"/>
        </w:rPr>
        <w:t>Contact  Géraldine PERROUD  |  geraldine.perroud@inspire-solutions.fr</w:t>
      </w:r>
    </w:p>
    <w:sectPr w:rsidR="005B6BD0" w:rsidRPr="00315FCA" w:rsidSect="00034616">
      <w:footerReference w:type="default" r:id="rId12"/>
      <w:pgSz w:w="12240" w:h="15840"/>
      <w:pgMar w:top="1037" w:right="1123" w:bottom="1037"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5945DE" w14:textId="77777777" w:rsidR="00E10415" w:rsidRDefault="00E10415">
      <w:pPr>
        <w:spacing w:after="0" w:line="240" w:lineRule="auto"/>
      </w:pPr>
      <w:r>
        <w:separator/>
      </w:r>
    </w:p>
  </w:endnote>
  <w:endnote w:type="continuationSeparator" w:id="0">
    <w:p w14:paraId="60D6B6BB" w14:textId="77777777" w:rsidR="00E10415" w:rsidRDefault="00E10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Gloucester MT Extra Condensed">
    <w:panose1 w:val="02030808020601010101"/>
    <w:charset w:val="4D"/>
    <w:family w:val="roman"/>
    <w:pitch w:val="variable"/>
    <w:sig w:usb0="00000003" w:usb1="00000000" w:usb2="00000000" w:usb3="00000000" w:csb0="00000001"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E8B297" w14:textId="77777777" w:rsidR="005B6BD0" w:rsidRDefault="005B6BD0">
    <w:pPr>
      <w:pStyle w:val="Pieddepage"/>
    </w:pPr>
  </w:p>
  <w:tbl>
    <w:tblPr>
      <w:tblW w:w="0" w:type="auto"/>
      <w:jc w:val="center"/>
      <w:tblLayout w:type="fixed"/>
      <w:tblLook w:val="04A0" w:firstRow="1" w:lastRow="0" w:firstColumn="1" w:lastColumn="0" w:noHBand="0" w:noVBand="1"/>
    </w:tblPr>
    <w:tblGrid>
      <w:gridCol w:w="8352"/>
      <w:gridCol w:w="1641"/>
    </w:tblGrid>
    <w:tr w:rsidR="005B6BD0" w14:paraId="79363D26" w14:textId="77777777">
      <w:trPr>
        <w:jc w:val="center"/>
      </w:trPr>
      <w:tc>
        <w:tcPr>
          <w:tcW w:w="8352" w:type="dxa"/>
          <w:tcMar>
            <w:top w:w="0" w:type="dxa"/>
            <w:left w:w="0" w:type="dxa"/>
            <w:bottom w:w="0" w:type="dxa"/>
            <w:right w:w="0" w:type="dxa"/>
          </w:tcMar>
          <w:vAlign w:val="center"/>
        </w:tcPr>
        <w:p w14:paraId="341806E0" w14:textId="77777777" w:rsidR="005B6BD0" w:rsidRDefault="00000000">
          <w:r>
            <w:rPr>
              <w:color w:val="5A5A5A"/>
              <w:sz w:val="16"/>
            </w:rPr>
            <w:t xml:space="preserve">Inspire </w:t>
          </w:r>
          <w:proofErr w:type="gramStart"/>
          <w:r>
            <w:rPr>
              <w:color w:val="5A5A5A"/>
              <w:sz w:val="16"/>
            </w:rPr>
            <w:t>Solutions  |</w:t>
          </w:r>
          <w:proofErr w:type="gramEnd"/>
          <w:r>
            <w:rPr>
              <w:color w:val="5A5A5A"/>
              <w:sz w:val="16"/>
            </w:rPr>
            <w:t xml:space="preserve">  </w:t>
          </w:r>
          <w:proofErr w:type="spellStart"/>
          <w:r>
            <w:rPr>
              <w:color w:val="5A5A5A"/>
              <w:sz w:val="16"/>
            </w:rPr>
            <w:t>Règlement</w:t>
          </w:r>
          <w:proofErr w:type="spellEnd"/>
          <w:r>
            <w:rPr>
              <w:color w:val="5A5A5A"/>
              <w:sz w:val="16"/>
            </w:rPr>
            <w:t xml:space="preserve"> </w:t>
          </w:r>
          <w:proofErr w:type="spellStart"/>
          <w:proofErr w:type="gramStart"/>
          <w:r>
            <w:rPr>
              <w:color w:val="5A5A5A"/>
              <w:sz w:val="16"/>
            </w:rPr>
            <w:t>intérieur</w:t>
          </w:r>
          <w:proofErr w:type="spellEnd"/>
          <w:r>
            <w:rPr>
              <w:color w:val="5A5A5A"/>
              <w:sz w:val="16"/>
            </w:rPr>
            <w:t xml:space="preserve">  |</w:t>
          </w:r>
          <w:proofErr w:type="gramEnd"/>
          <w:r>
            <w:rPr>
              <w:color w:val="5A5A5A"/>
              <w:sz w:val="16"/>
            </w:rPr>
            <w:t xml:space="preserve">  18.09.2026</w:t>
          </w:r>
        </w:p>
      </w:tc>
      <w:tc>
        <w:tcPr>
          <w:tcW w:w="1641" w:type="dxa"/>
          <w:tcMar>
            <w:top w:w="0" w:type="dxa"/>
            <w:left w:w="0" w:type="dxa"/>
            <w:bottom w:w="0" w:type="dxa"/>
            <w:right w:w="0" w:type="dxa"/>
          </w:tcMar>
          <w:vAlign w:val="center"/>
        </w:tcPr>
        <w:p w14:paraId="18CC85D0" w14:textId="77777777" w:rsidR="005B6BD0" w:rsidRDefault="00000000">
          <w:pPr>
            <w:jc w:val="right"/>
          </w:pPr>
          <w:r>
            <w:rPr>
              <w:color w:val="5A5A5A"/>
              <w:sz w:val="16"/>
            </w:rPr>
            <w:t xml:space="preserve">Page </w:t>
          </w:r>
          <w:r>
            <w:rPr>
              <w:color w:val="5A5A5A"/>
              <w:sz w:val="16"/>
            </w:rPr>
            <w:fldChar w:fldCharType="begin"/>
          </w:r>
          <w:r>
            <w:rPr>
              <w:color w:val="5A5A5A"/>
              <w:sz w:val="16"/>
            </w:rPr>
            <w:instrText>PAGE</w:instrText>
          </w:r>
          <w:r w:rsidR="001F470B">
            <w:rPr>
              <w:color w:val="5A5A5A"/>
              <w:sz w:val="16"/>
            </w:rPr>
            <w:fldChar w:fldCharType="separate"/>
          </w:r>
          <w:r w:rsidR="001F470B">
            <w:rPr>
              <w:noProof/>
              <w:color w:val="5A5A5A"/>
              <w:sz w:val="16"/>
            </w:rPr>
            <w:t>1</w:t>
          </w:r>
          <w:r>
            <w:rPr>
              <w:color w:val="5A5A5A"/>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6E79E9" w14:textId="77777777" w:rsidR="00E10415" w:rsidRDefault="00E10415">
      <w:pPr>
        <w:spacing w:after="0" w:line="240" w:lineRule="auto"/>
      </w:pPr>
      <w:r>
        <w:separator/>
      </w:r>
    </w:p>
  </w:footnote>
  <w:footnote w:type="continuationSeparator" w:id="0">
    <w:p w14:paraId="0021EA86" w14:textId="77777777" w:rsidR="00E10415" w:rsidRDefault="00E104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A85A0DAC"/>
    <w:lvl w:ilvl="0">
      <w:start w:val="1"/>
      <w:numFmt w:val="bullet"/>
      <w:pStyle w:val="Listepuces"/>
      <w:lvlText w:val=""/>
      <w:lvlJc w:val="left"/>
      <w:pPr>
        <w:tabs>
          <w:tab w:val="num" w:pos="360"/>
        </w:tabs>
        <w:ind w:left="360" w:hanging="360"/>
      </w:pPr>
      <w:rPr>
        <w:rFonts w:ascii="Symbol" w:hAnsi="Symbol" w:hint="default"/>
      </w:rPr>
    </w:lvl>
  </w:abstractNum>
  <w:num w:numId="1" w16cid:durableId="1805344639">
    <w:abstractNumId w:val="8"/>
  </w:num>
  <w:num w:numId="2" w16cid:durableId="403339048">
    <w:abstractNumId w:val="6"/>
  </w:num>
  <w:num w:numId="3" w16cid:durableId="1680964921">
    <w:abstractNumId w:val="5"/>
  </w:num>
  <w:num w:numId="4" w16cid:durableId="1507866184">
    <w:abstractNumId w:val="4"/>
  </w:num>
  <w:num w:numId="5" w16cid:durableId="125899522">
    <w:abstractNumId w:val="7"/>
  </w:num>
  <w:num w:numId="6" w16cid:durableId="1853758131">
    <w:abstractNumId w:val="3"/>
  </w:num>
  <w:num w:numId="7" w16cid:durableId="746461388">
    <w:abstractNumId w:val="2"/>
  </w:num>
  <w:num w:numId="8" w16cid:durableId="1939092691">
    <w:abstractNumId w:val="1"/>
  </w:num>
  <w:num w:numId="9" w16cid:durableId="5591683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4387"/>
    <w:rsid w:val="001F470B"/>
    <w:rsid w:val="0029639D"/>
    <w:rsid w:val="00315FCA"/>
    <w:rsid w:val="00326F90"/>
    <w:rsid w:val="005B6BD0"/>
    <w:rsid w:val="00905BD4"/>
    <w:rsid w:val="00AA1D8D"/>
    <w:rsid w:val="00B47730"/>
    <w:rsid w:val="00CB0664"/>
    <w:rsid w:val="00E104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280BA0"/>
  <w14:defaultImageDpi w14:val="300"/>
  <w15:docId w15:val="{58134258-5E12-3249-9859-2C165944A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000000"/>
      <w:sz w:val="21"/>
    </w:rPr>
  </w:style>
  <w:style w:type="paragraph" w:styleId="Titre1">
    <w:name w:val="heading 1"/>
    <w:basedOn w:val="Normal"/>
    <w:next w:val="Normal"/>
    <w:link w:val="Titre1Car"/>
    <w:uiPriority w:val="9"/>
    <w:qFormat/>
    <w:rsid w:val="00FC693F"/>
    <w:pPr>
      <w:keepNext/>
      <w:keepLines/>
      <w:spacing w:before="300" w:after="140"/>
      <w:outlineLvl w:val="0"/>
    </w:pPr>
    <w:rPr>
      <w:rFonts w:asciiTheme="majorHAnsi" w:eastAsiaTheme="majorEastAsia" w:hAnsiTheme="majorHAnsi" w:cstheme="majorBidi"/>
      <w:b/>
      <w:bCs/>
      <w:sz w:val="30"/>
      <w:szCs w:val="28"/>
    </w:rPr>
  </w:style>
  <w:style w:type="paragraph" w:styleId="Titre2">
    <w:name w:val="heading 2"/>
    <w:basedOn w:val="Normal"/>
    <w:next w:val="Normal"/>
    <w:link w:val="Titre2Car"/>
    <w:uiPriority w:val="9"/>
    <w:unhideWhenUsed/>
    <w:qFormat/>
    <w:rsid w:val="00FC693F"/>
    <w:pPr>
      <w:keepNext/>
      <w:keepLines/>
      <w:spacing w:before="200" w:after="80"/>
      <w:outlineLvl w:val="1"/>
    </w:pPr>
    <w:rPr>
      <w:rFonts w:asciiTheme="majorHAnsi" w:eastAsiaTheme="majorEastAsia" w:hAnsiTheme="majorHAnsi" w:cstheme="majorBidi"/>
      <w:b/>
      <w:bCs/>
      <w:sz w:val="23"/>
      <w:szCs w:val="26"/>
    </w:rPr>
  </w:style>
  <w:style w:type="paragraph" w:styleId="Titre3">
    <w:name w:val="heading 3"/>
    <w:basedOn w:val="Normal"/>
    <w:next w:val="Normal"/>
    <w:link w:val="Titre3Car"/>
    <w:uiPriority w:val="9"/>
    <w:unhideWhenUsed/>
    <w:qFormat/>
    <w:rsid w:val="00FC693F"/>
    <w:pPr>
      <w:keepNext/>
      <w:keepLines/>
      <w:spacing w:before="160" w:after="60"/>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240" w:line="240" w:lineRule="auto"/>
      <w:contextualSpacing/>
    </w:pPr>
    <w:rPr>
      <w:rFonts w:asciiTheme="majorHAnsi" w:eastAsiaTheme="majorEastAsia" w:hAnsiTheme="majorHAnsi" w:cstheme="majorBidi"/>
      <w:b/>
      <w:spacing w:val="5"/>
      <w:kern w:val="28"/>
      <w:sz w:val="4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spacing w:after="160"/>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spacing w:after="20" w:line="240" w:lineRule="auto"/>
      <w:contextualSpacing/>
    </w:pPr>
  </w:style>
  <w:style w:type="paragraph" w:styleId="Listepuces2">
    <w:name w:val="List Bullet 2"/>
    <w:basedOn w:val="Normal"/>
    <w:uiPriority w:val="99"/>
    <w:unhideWhenUsed/>
    <w:rsid w:val="00326F90"/>
    <w:pPr>
      <w:numPr>
        <w:numId w:val="2"/>
      </w:numPr>
      <w:spacing w:after="20" w:line="240" w:lineRule="auto"/>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spacing w:after="20" w:line="240" w:lineRule="auto"/>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asis">
    <w:name w:val="Legal Basis"/>
    <w:pPr>
      <w:spacing w:after="140"/>
    </w:pPr>
    <w:rPr>
      <w:rFonts w:ascii="Aptos" w:hAnsi="Aptos"/>
      <w:i/>
      <w:color w:val="464646"/>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efiph.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nparcourshandicap.gouv.fr" TargetMode="External"/><Relationship Id="rId5" Type="http://schemas.openxmlformats.org/officeDocument/2006/relationships/webSettings" Target="webSettings.xml"/><Relationship Id="rId10" Type="http://schemas.openxmlformats.org/officeDocument/2006/relationships/hyperlink" Target="https://www.fiphfp.fr" TargetMode="External"/><Relationship Id="rId4" Type="http://schemas.openxmlformats.org/officeDocument/2006/relationships/settings" Target="settings.xml"/><Relationship Id="rId9" Type="http://schemas.openxmlformats.org/officeDocument/2006/relationships/hyperlink" Target="https://www.capemploi.inf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3301</Words>
  <Characters>18161</Characters>
  <Application>Microsoft Office Word</Application>
  <DocSecurity>0</DocSecurity>
  <Lines>151</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Règlement intérieur de l’organisme de formation Inspire Solutions</vt:lpstr>
      <vt:lpstr/>
    </vt:vector>
  </TitlesOfParts>
  <Manager/>
  <Company/>
  <LinksUpToDate>false</LinksUpToDate>
  <CharactersWithSpaces>21420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intérieur de l’organisme de formation Inspire Solutions</dc:title>
  <dc:subject>Règlement intérieur et politique d’accessibilité conformes au cadre Qualiopi version 9</dc:subject>
  <dc:creator>Inspire Solutions</dc:creator>
  <cp:keywords>Qualiopi, règlement intérieur, accessibilité, handicap, formation</cp:keywords>
  <dc:description>generated by python-docx</dc:description>
  <cp:lastModifiedBy>Géraldine PERROUD</cp:lastModifiedBy>
  <cp:revision>2</cp:revision>
  <dcterms:created xsi:type="dcterms:W3CDTF">2026-09-18T15:24:00Z</dcterms:created>
  <dcterms:modified xsi:type="dcterms:W3CDTF">2026-09-18T15:24:00Z</dcterms:modified>
  <cp:category/>
</cp:coreProperties>
</file>